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jc w:val="center"/>
        <w:outlineLvl w:val="0"/>
        <w:rPr>
          <w:rFonts w:ascii="方正小标宋简体" w:hAnsi="宋体" w:eastAsia="方正小标宋简体"/>
          <w:sz w:val="72"/>
          <w:szCs w:val="72"/>
        </w:rPr>
      </w:pPr>
      <w:bookmarkStart w:id="0" w:name="_Toc15396597"/>
      <w:bookmarkStart w:id="1" w:name="_Toc15377193"/>
      <w:bookmarkStart w:id="2" w:name="_Toc15396475"/>
      <w:bookmarkStart w:id="3" w:name="_Toc15378441"/>
      <w:bookmarkStart w:id="4" w:name="_Toc15377425"/>
      <w:bookmarkStart w:id="5" w:name="_Toc15306267"/>
    </w:p>
    <w:p>
      <w:pPr>
        <w:jc w:val="center"/>
        <w:outlineLvl w:val="0"/>
        <w:rPr>
          <w:rFonts w:ascii="方正小标宋简体" w:hAnsi="宋体" w:eastAsia="方正小标宋简体"/>
          <w:sz w:val="72"/>
          <w:szCs w:val="72"/>
        </w:rPr>
      </w:pPr>
    </w:p>
    <w:p>
      <w:pPr>
        <w:jc w:val="center"/>
        <w:outlineLvl w:val="0"/>
        <w:rPr>
          <w:rFonts w:ascii="方正小标宋简体" w:hAnsi="宋体" w:eastAsia="方正小标宋简体"/>
          <w:sz w:val="72"/>
          <w:szCs w:val="72"/>
        </w:rPr>
      </w:pPr>
    </w:p>
    <w:p>
      <w:pPr>
        <w:adjustRightInd w:val="0"/>
        <w:snapToGrid w:val="0"/>
        <w:jc w:val="center"/>
        <w:outlineLvl w:val="0"/>
        <w:rPr>
          <w:rFonts w:ascii="方正小标宋简体" w:hAnsi="方正小标宋简体" w:eastAsia="方正小标宋简体" w:cs="方正小标宋简体"/>
          <w:sz w:val="72"/>
          <w:szCs w:val="72"/>
        </w:rPr>
      </w:pPr>
      <w:bookmarkStart w:id="6" w:name="_Toc146616475"/>
      <w:r>
        <w:rPr>
          <w:rFonts w:hint="eastAsia" w:ascii="方正小标宋简体" w:hAnsi="方正小标宋简体" w:eastAsia="方正小标宋简体" w:cs="方正小标宋简体"/>
          <w:sz w:val="72"/>
          <w:szCs w:val="72"/>
        </w:rPr>
        <w:t>202</w:t>
      </w:r>
      <w:r>
        <w:rPr>
          <w:rFonts w:ascii="方正小标宋简体" w:hAnsi="方正小标宋简体" w:eastAsia="方正小标宋简体" w:cs="方正小标宋简体"/>
          <w:sz w:val="72"/>
          <w:szCs w:val="72"/>
        </w:rPr>
        <w:t>3</w:t>
      </w:r>
      <w:r>
        <w:rPr>
          <w:rFonts w:hint="eastAsia" w:ascii="方正小标宋简体" w:hAnsi="方正小标宋简体" w:eastAsia="方正小标宋简体" w:cs="方正小标宋简体"/>
          <w:sz w:val="72"/>
          <w:szCs w:val="72"/>
        </w:rPr>
        <w:t>年度</w:t>
      </w:r>
      <w:bookmarkEnd w:id="0"/>
      <w:bookmarkEnd w:id="1"/>
      <w:bookmarkEnd w:id="2"/>
      <w:bookmarkEnd w:id="3"/>
      <w:bookmarkEnd w:id="4"/>
      <w:bookmarkEnd w:id="6"/>
    </w:p>
    <w:p>
      <w:pPr>
        <w:adjustRightInd w:val="0"/>
        <w:snapToGrid w:val="0"/>
        <w:jc w:val="center"/>
        <w:outlineLvl w:val="0"/>
        <w:rPr>
          <w:rFonts w:ascii="方正小标宋简体" w:hAnsi="方正小标宋简体" w:eastAsia="方正小标宋简体" w:cs="方正小标宋简体"/>
          <w:sz w:val="72"/>
          <w:szCs w:val="72"/>
        </w:rPr>
      </w:pPr>
      <w:bookmarkStart w:id="7" w:name="_Toc15396598"/>
      <w:bookmarkStart w:id="8" w:name="_Toc15396476"/>
      <w:bookmarkStart w:id="9" w:name="_Toc15377194"/>
      <w:bookmarkStart w:id="10" w:name="_Toc15378442"/>
      <w:bookmarkStart w:id="11" w:name="_Toc15377426"/>
      <w:bookmarkStart w:id="12" w:name="_Toc146616476"/>
      <w:r>
        <w:rPr>
          <w:rFonts w:hint="eastAsia" w:ascii="方正小标宋简体" w:hAnsi="方正小标宋简体" w:eastAsia="方正小标宋简体" w:cs="方正小标宋简体"/>
          <w:sz w:val="72"/>
          <w:szCs w:val="72"/>
        </w:rPr>
        <w:t>广元市</w:t>
      </w:r>
      <w:bookmarkEnd w:id="5"/>
      <w:bookmarkStart w:id="13" w:name="_Toc15306268"/>
      <w:r>
        <w:rPr>
          <w:rFonts w:hint="eastAsia" w:ascii="方正小标宋简体" w:hAnsi="方正小标宋简体" w:eastAsia="方正小标宋简体" w:cs="方正小标宋简体"/>
          <w:sz w:val="72"/>
          <w:szCs w:val="72"/>
        </w:rPr>
        <w:t>政府国有资产监督管理委员会部门决算</w:t>
      </w:r>
      <w:bookmarkEnd w:id="7"/>
      <w:bookmarkEnd w:id="8"/>
      <w:bookmarkEnd w:id="9"/>
      <w:bookmarkEnd w:id="10"/>
      <w:bookmarkEnd w:id="11"/>
      <w:bookmarkEnd w:id="12"/>
      <w:bookmarkEnd w:id="13"/>
    </w:p>
    <w:p>
      <w:pPr>
        <w:widowControl/>
        <w:spacing w:line="576" w:lineRule="exact"/>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2"/>
        <w:spacing w:line="576" w:lineRule="exact"/>
      </w:pPr>
      <w:r>
        <w:rPr>
          <w:rFonts w:hint="eastAsia"/>
        </w:rPr>
        <w:t>公开时间：202</w:t>
      </w:r>
      <w:r>
        <w:t>4</w:t>
      </w:r>
      <w:r>
        <w:rPr>
          <w:rFonts w:hint="eastAsia"/>
        </w:rPr>
        <w:t>年10月</w:t>
      </w:r>
      <w:r>
        <w:t>2</w:t>
      </w:r>
      <w:r>
        <w:rPr>
          <w:rFonts w:hint="eastAsia"/>
        </w:rPr>
        <w:t>日</w:t>
      </w:r>
    </w:p>
    <w:sdt>
      <w:sdtPr>
        <w:rPr>
          <w:rFonts w:ascii="Times New Roman" w:hAnsi="Times New Roman" w:eastAsia="仿宋_GB2312" w:cs="Times New Roman"/>
          <w:color w:val="auto"/>
          <w:kern w:val="2"/>
          <w:szCs w:val="24"/>
          <w:lang w:val="zh-CN"/>
        </w:rPr>
        <w:id w:val="-542210787"/>
        <w:docPartObj>
          <w:docPartGallery w:val="Table of Contents"/>
          <w:docPartUnique/>
        </w:docPartObj>
      </w:sdtPr>
      <w:sdtEndPr>
        <w:rPr>
          <w:rFonts w:hint="eastAsia" w:ascii="仿宋_GB2312" w:hAnsi="Times New Roman" w:eastAsia="仿宋_GB2312" w:cs="Times New Roman"/>
          <w:b/>
          <w:bCs/>
          <w:color w:val="auto"/>
          <w:kern w:val="2"/>
          <w:sz w:val="24"/>
          <w:szCs w:val="24"/>
          <w:lang w:val="zh-CN"/>
        </w:rPr>
      </w:sdtEndPr>
      <w:sdtContent>
        <w:p>
          <w:pPr>
            <w:pStyle w:val="43"/>
            <w:spacing w:line="576" w:lineRule="exact"/>
            <w:rPr>
              <w:rFonts w:ascii="宋体" w:hAnsi="宋体" w:eastAsia="宋体" w:cstheme="minorBidi"/>
              <w:sz w:val="24"/>
              <w:szCs w:val="24"/>
            </w:rPr>
          </w:pPr>
          <w:r>
            <w:rPr>
              <w:rFonts w:hint="eastAsia" w:ascii="仿宋_GB2312" w:eastAsia="仿宋_GB2312"/>
              <w:sz w:val="24"/>
              <w:szCs w:val="24"/>
            </w:rPr>
            <w:fldChar w:fldCharType="begin"/>
          </w:r>
          <w:r>
            <w:rPr>
              <w:rFonts w:hint="eastAsia" w:ascii="仿宋_GB2312" w:eastAsia="仿宋_GB2312"/>
              <w:sz w:val="24"/>
              <w:szCs w:val="24"/>
            </w:rPr>
            <w:instrText xml:space="preserve"> TOC \o "1-3" \h \z \u </w:instrText>
          </w:r>
          <w:r>
            <w:rPr>
              <w:rFonts w:hint="eastAsia" w:ascii="仿宋_GB2312" w:eastAsia="仿宋_GB2312"/>
              <w:sz w:val="24"/>
              <w:szCs w:val="24"/>
            </w:rPr>
            <w:fldChar w:fldCharType="separate"/>
          </w:r>
        </w:p>
        <w:p>
          <w:pPr>
            <w:pStyle w:val="12"/>
            <w:spacing w:line="576" w:lineRule="exact"/>
            <w:jc w:val="both"/>
            <w:rPr>
              <w:rFonts w:ascii="仿宋_GB2312" w:hAnsi="宋体" w:eastAsia="仿宋_GB2312" w:cstheme="minorBidi"/>
              <w:sz w:val="24"/>
              <w:szCs w:val="24"/>
            </w:rPr>
          </w:pPr>
          <w:r>
            <w:fldChar w:fldCharType="begin"/>
          </w:r>
          <w:r>
            <w:instrText xml:space="preserve"> HYPERLINK \l "_Toc146616477" </w:instrText>
          </w:r>
          <w:r>
            <w:fldChar w:fldCharType="separate"/>
          </w:r>
          <w:r>
            <w:rPr>
              <w:rStyle w:val="21"/>
              <w:rFonts w:hint="eastAsia" w:ascii="仿宋_GB2312" w:hAnsi="宋体" w:eastAsia="仿宋_GB2312"/>
              <w:sz w:val="24"/>
              <w:szCs w:val="24"/>
            </w:rPr>
            <w:t>第一部分 部门概况</w:t>
          </w:r>
          <w:r>
            <w:rPr>
              <w:rFonts w:hint="eastAsia" w:ascii="仿宋_GB2312" w:hAnsi="宋体" w:eastAsia="仿宋_GB2312"/>
              <w:sz w:val="24"/>
              <w:szCs w:val="24"/>
            </w:rPr>
            <w:tab/>
          </w:r>
          <w:r>
            <w:rPr>
              <w:rFonts w:hint="eastAsia" w:ascii="仿宋_GB2312" w:hAnsi="宋体" w:eastAsia="仿宋_GB2312"/>
              <w:sz w:val="24"/>
              <w:szCs w:val="24"/>
            </w:rPr>
            <w:fldChar w:fldCharType="begin"/>
          </w:r>
          <w:r>
            <w:rPr>
              <w:rFonts w:hint="eastAsia" w:ascii="仿宋_GB2312" w:hAnsi="宋体" w:eastAsia="仿宋_GB2312"/>
              <w:sz w:val="24"/>
              <w:szCs w:val="24"/>
            </w:rPr>
            <w:instrText xml:space="preserve"> PAGEREF _Toc146616477 \h </w:instrText>
          </w:r>
          <w:r>
            <w:rPr>
              <w:rFonts w:hint="eastAsia" w:ascii="仿宋_GB2312" w:hAnsi="宋体" w:eastAsia="仿宋_GB2312"/>
              <w:sz w:val="24"/>
              <w:szCs w:val="24"/>
            </w:rPr>
            <w:fldChar w:fldCharType="separate"/>
          </w:r>
          <w:r>
            <w:rPr>
              <w:rFonts w:ascii="仿宋_GB2312" w:hAnsi="宋体" w:eastAsia="仿宋_GB2312"/>
              <w:sz w:val="24"/>
              <w:szCs w:val="24"/>
            </w:rPr>
            <w:t>4</w:t>
          </w:r>
          <w:r>
            <w:rPr>
              <w:rFonts w:hint="eastAsia" w:ascii="仿宋_GB2312" w:hAnsi="宋体" w:eastAsia="仿宋_GB2312"/>
              <w:sz w:val="24"/>
              <w:szCs w:val="24"/>
            </w:rPr>
            <w:fldChar w:fldCharType="end"/>
          </w:r>
          <w:r>
            <w:rPr>
              <w:rFonts w:hint="eastAsia" w:ascii="仿宋_GB2312" w:hAnsi="宋体" w:eastAsia="仿宋_GB2312"/>
              <w:sz w:val="24"/>
              <w:szCs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"_Toc146616478" </w:instrText>
          </w:r>
          <w:r>
            <w:fldChar w:fldCharType="separate"/>
          </w:r>
          <w:r>
            <w:rPr>
              <w:rStyle w:val="21"/>
              <w:rFonts w:hint="eastAsia" w:ascii="宋体" w:hAnsi="宋体" w:eastAsia="宋体"/>
              <w:sz w:val="24"/>
            </w:rPr>
            <w:t>一、部门职责</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_Toc146616478 \h </w:instrText>
          </w:r>
          <w:r>
            <w:rPr>
              <w:rFonts w:hint="eastAsia" w:ascii="宋体" w:hAnsi="宋体" w:eastAsia="宋体"/>
              <w:sz w:val="24"/>
            </w:rPr>
            <w:fldChar w:fldCharType="separate"/>
          </w:r>
          <w:r>
            <w:rPr>
              <w:rFonts w:ascii="宋体" w:hAnsi="宋体" w:eastAsia="宋体"/>
              <w:sz w:val="24"/>
            </w:rPr>
            <w:t>4</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"_Toc146616479" </w:instrText>
          </w:r>
          <w:r>
            <w:fldChar w:fldCharType="separate"/>
          </w:r>
          <w:r>
            <w:rPr>
              <w:rStyle w:val="21"/>
              <w:rFonts w:hint="eastAsia" w:ascii="宋体" w:hAnsi="宋体" w:eastAsia="宋体"/>
              <w:sz w:val="24"/>
            </w:rPr>
            <w:t>二、机构设置</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_Toc146616479 \h </w:instrText>
          </w:r>
          <w:r>
            <w:rPr>
              <w:rFonts w:hint="eastAsia" w:ascii="宋体" w:hAnsi="宋体" w:eastAsia="宋体"/>
              <w:sz w:val="24"/>
            </w:rPr>
            <w:fldChar w:fldCharType="separate"/>
          </w:r>
          <w:r>
            <w:rPr>
              <w:rFonts w:ascii="宋体" w:hAnsi="宋体" w:eastAsia="宋体"/>
              <w:sz w:val="24"/>
            </w:rPr>
            <w:t>5</w:t>
          </w:r>
          <w:r>
            <w:rPr>
              <w:rFonts w:hint="eastAsia" w:ascii="宋体" w:hAnsi="宋体" w:eastAsia="宋体"/>
              <w:sz w:val="24"/>
            </w:rPr>
            <w:fldChar w:fldCharType="end"/>
          </w:r>
          <w:r>
            <w:rPr>
              <w:rFonts w:hint="eastAsia" w:ascii="宋体" w:hAnsi="宋体" w:eastAsia="宋体"/>
              <w:sz w:val="24"/>
            </w:rPr>
            <w:fldChar w:fldCharType="end"/>
          </w:r>
        </w:p>
        <w:p>
          <w:pPr>
            <w:pStyle w:val="12"/>
            <w:spacing w:line="576" w:lineRule="exact"/>
            <w:rPr>
              <w:rFonts w:ascii="仿宋_GB2312" w:hAnsi="宋体" w:eastAsia="仿宋_GB2312" w:cstheme="minorBidi"/>
              <w:sz w:val="24"/>
              <w:szCs w:val="24"/>
            </w:rPr>
          </w:pPr>
          <w:r>
            <w:fldChar w:fldCharType="begin"/>
          </w:r>
          <w:r>
            <w:instrText xml:space="preserve"> HYPERLINK \l "_Toc146616482" </w:instrText>
          </w:r>
          <w:r>
            <w:fldChar w:fldCharType="separate"/>
          </w:r>
          <w:r>
            <w:rPr>
              <w:rStyle w:val="21"/>
              <w:rFonts w:hint="eastAsia" w:ascii="仿宋_GB2312" w:hAnsi="宋体" w:eastAsia="仿宋_GB2312"/>
              <w:sz w:val="24"/>
              <w:szCs w:val="24"/>
            </w:rPr>
            <w:t>第二部分 2022年度部门决算情况说明</w:t>
          </w:r>
          <w:r>
            <w:rPr>
              <w:rFonts w:hint="eastAsia" w:ascii="仿宋_GB2312" w:hAnsi="宋体" w:eastAsia="仿宋_GB2312"/>
              <w:sz w:val="24"/>
              <w:szCs w:val="24"/>
            </w:rPr>
            <w:tab/>
          </w:r>
          <w:r>
            <w:rPr>
              <w:rFonts w:hint="eastAsia" w:ascii="仿宋_GB2312" w:hAnsi="宋体" w:eastAsia="仿宋_GB2312"/>
              <w:sz w:val="24"/>
              <w:szCs w:val="24"/>
            </w:rPr>
            <w:fldChar w:fldCharType="begin"/>
          </w:r>
          <w:r>
            <w:rPr>
              <w:rFonts w:hint="eastAsia" w:ascii="仿宋_GB2312" w:hAnsi="宋体" w:eastAsia="仿宋_GB2312"/>
              <w:sz w:val="24"/>
              <w:szCs w:val="24"/>
            </w:rPr>
            <w:instrText xml:space="preserve"> PAGEREF _Toc146616482 \h </w:instrText>
          </w:r>
          <w:r>
            <w:rPr>
              <w:rFonts w:hint="eastAsia" w:ascii="仿宋_GB2312" w:hAnsi="宋体" w:eastAsia="仿宋_GB2312"/>
              <w:sz w:val="24"/>
              <w:szCs w:val="24"/>
            </w:rPr>
            <w:fldChar w:fldCharType="separate"/>
          </w:r>
          <w:r>
            <w:rPr>
              <w:rFonts w:ascii="仿宋_GB2312" w:hAnsi="宋体" w:eastAsia="仿宋_GB2312"/>
              <w:sz w:val="24"/>
              <w:szCs w:val="24"/>
            </w:rPr>
            <w:t>6</w:t>
          </w:r>
          <w:r>
            <w:rPr>
              <w:rFonts w:hint="eastAsia" w:ascii="仿宋_GB2312" w:hAnsi="宋体" w:eastAsia="仿宋_GB2312"/>
              <w:sz w:val="24"/>
              <w:szCs w:val="24"/>
            </w:rPr>
            <w:fldChar w:fldCharType="end"/>
          </w:r>
          <w:r>
            <w:rPr>
              <w:rFonts w:hint="eastAsia" w:ascii="仿宋_GB2312" w:hAnsi="宋体" w:eastAsia="仿宋_GB2312"/>
              <w:sz w:val="24"/>
              <w:szCs w:val="24"/>
            </w:rPr>
            <w:fldChar w:fldCharType="end"/>
          </w:r>
        </w:p>
        <w:p>
          <w:pPr>
            <w:pStyle w:val="14"/>
            <w:tabs>
              <w:tab w:val="left" w:pos="1470"/>
            </w:tabs>
            <w:spacing w:line="576" w:lineRule="exact"/>
            <w:ind w:left="640"/>
            <w:rPr>
              <w:rFonts w:ascii="宋体" w:hAnsi="宋体" w:eastAsia="宋体" w:cstheme="minorBidi"/>
              <w:sz w:val="24"/>
            </w:rPr>
          </w:pPr>
          <w:r>
            <w:fldChar w:fldCharType="begin"/>
          </w:r>
          <w:r>
            <w:instrText xml:space="preserve"> HYPERLINK \l "_Toc146616483" </w:instrText>
          </w:r>
          <w:r>
            <w:fldChar w:fldCharType="separate"/>
          </w:r>
          <w:r>
            <w:rPr>
              <w:rStyle w:val="21"/>
              <w:rFonts w:hint="eastAsia" w:ascii="宋体" w:hAnsi="宋体" w:eastAsia="宋体" w:cstheme="majorBidi"/>
              <w:bCs/>
              <w:sz w:val="24"/>
            </w:rPr>
            <w:t>一、</w:t>
          </w:r>
          <w:r>
            <w:rPr>
              <w:rStyle w:val="21"/>
              <w:rFonts w:hint="eastAsia" w:ascii="宋体" w:hAnsi="宋体" w:eastAsia="宋体"/>
              <w:sz w:val="24"/>
            </w:rPr>
            <w:t>收</w:t>
          </w:r>
          <w:r>
            <w:rPr>
              <w:rStyle w:val="21"/>
              <w:rFonts w:hint="eastAsia" w:ascii="宋体" w:hAnsi="宋体" w:eastAsia="宋体" w:cstheme="majorBidi"/>
              <w:bCs/>
              <w:sz w:val="24"/>
            </w:rPr>
            <w:t>入支出决算总体情况说明</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_Toc146616483 \h </w:instrText>
          </w:r>
          <w:r>
            <w:rPr>
              <w:rFonts w:hint="eastAsia" w:ascii="宋体" w:hAnsi="宋体" w:eastAsia="宋体"/>
              <w:sz w:val="24"/>
            </w:rPr>
            <w:fldChar w:fldCharType="separate"/>
          </w:r>
          <w:r>
            <w:rPr>
              <w:rFonts w:ascii="宋体" w:hAnsi="宋体" w:eastAsia="宋体"/>
              <w:sz w:val="24"/>
            </w:rPr>
            <w:t>6</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"_Toc146616484" </w:instrText>
          </w:r>
          <w:r>
            <w:fldChar w:fldCharType="separate"/>
          </w:r>
          <w:r>
            <w:rPr>
              <w:rStyle w:val="21"/>
              <w:rFonts w:hint="eastAsia" w:ascii="宋体" w:hAnsi="宋体" w:eastAsia="宋体" w:cstheme="majorBidi"/>
              <w:bCs/>
              <w:sz w:val="24"/>
            </w:rPr>
            <w:t>二、</w:t>
          </w:r>
          <w:r>
            <w:rPr>
              <w:rStyle w:val="21"/>
              <w:rFonts w:hint="eastAsia" w:ascii="宋体" w:hAnsi="宋体" w:eastAsia="宋体"/>
              <w:sz w:val="24"/>
            </w:rPr>
            <w:t>收</w:t>
          </w:r>
          <w:r>
            <w:rPr>
              <w:rStyle w:val="21"/>
              <w:rFonts w:hint="eastAsia" w:ascii="宋体" w:hAnsi="宋体" w:eastAsia="宋体" w:cstheme="majorBidi"/>
              <w:bCs/>
              <w:sz w:val="24"/>
            </w:rPr>
            <w:t>入决算情况说明</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_Toc146616484 \h </w:instrText>
          </w:r>
          <w:r>
            <w:rPr>
              <w:rFonts w:hint="eastAsia" w:ascii="宋体" w:hAnsi="宋体" w:eastAsia="宋体"/>
              <w:sz w:val="24"/>
            </w:rPr>
            <w:fldChar w:fldCharType="separate"/>
          </w:r>
          <w:r>
            <w:rPr>
              <w:rFonts w:ascii="宋体" w:hAnsi="宋体" w:eastAsia="宋体"/>
              <w:sz w:val="24"/>
            </w:rPr>
            <w:t>6</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"_Toc146616485" </w:instrText>
          </w:r>
          <w:r>
            <w:fldChar w:fldCharType="separate"/>
          </w:r>
          <w:r>
            <w:rPr>
              <w:rStyle w:val="21"/>
              <w:rFonts w:hint="eastAsia" w:ascii="宋体" w:hAnsi="宋体" w:eastAsia="宋体" w:cstheme="majorBidi"/>
              <w:bCs/>
              <w:sz w:val="24"/>
            </w:rPr>
            <w:t>三、</w:t>
          </w:r>
          <w:r>
            <w:rPr>
              <w:rStyle w:val="21"/>
              <w:rFonts w:hint="eastAsia" w:ascii="宋体" w:hAnsi="宋体" w:eastAsia="宋体"/>
              <w:sz w:val="24"/>
            </w:rPr>
            <w:t>支</w:t>
          </w:r>
          <w:r>
            <w:rPr>
              <w:rStyle w:val="21"/>
              <w:rFonts w:hint="eastAsia" w:ascii="宋体" w:hAnsi="宋体" w:eastAsia="宋体" w:cstheme="majorBidi"/>
              <w:bCs/>
              <w:sz w:val="24"/>
            </w:rPr>
            <w:t>出决算情况说明</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_Toc146616485 \h </w:instrText>
          </w:r>
          <w:r>
            <w:rPr>
              <w:rFonts w:hint="eastAsia" w:ascii="宋体" w:hAnsi="宋体" w:eastAsia="宋体"/>
              <w:sz w:val="24"/>
            </w:rPr>
            <w:fldChar w:fldCharType="separate"/>
          </w:r>
          <w:r>
            <w:rPr>
              <w:rFonts w:ascii="宋体" w:hAnsi="宋体" w:eastAsia="宋体"/>
              <w:sz w:val="24"/>
            </w:rPr>
            <w:t>7</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"_Toc146616487" </w:instrText>
          </w:r>
          <w:r>
            <w:fldChar w:fldCharType="separate"/>
          </w:r>
          <w:r>
            <w:rPr>
              <w:rStyle w:val="21"/>
              <w:rFonts w:hint="eastAsia" w:ascii="宋体" w:hAnsi="宋体" w:eastAsia="宋体"/>
              <w:sz w:val="24"/>
            </w:rPr>
            <w:t>四、财</w:t>
          </w:r>
          <w:r>
            <w:rPr>
              <w:rStyle w:val="21"/>
              <w:rFonts w:hint="eastAsia" w:ascii="宋体" w:hAnsi="宋体" w:eastAsia="宋体" w:cstheme="majorBidi"/>
              <w:bCs/>
              <w:sz w:val="24"/>
            </w:rPr>
            <w:t>政拨款收入支出决算总体情况说明</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_Toc146616487 \h </w:instrText>
          </w:r>
          <w:r>
            <w:rPr>
              <w:rFonts w:hint="eastAsia" w:ascii="宋体" w:hAnsi="宋体" w:eastAsia="宋体"/>
              <w:sz w:val="24"/>
            </w:rPr>
            <w:fldChar w:fldCharType="separate"/>
          </w:r>
          <w:r>
            <w:rPr>
              <w:rFonts w:ascii="宋体" w:hAnsi="宋体" w:eastAsia="宋体"/>
              <w:sz w:val="24"/>
            </w:rPr>
            <w:t>8</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"_Toc146616488" </w:instrText>
          </w:r>
          <w:r>
            <w:fldChar w:fldCharType="separate"/>
          </w:r>
          <w:r>
            <w:rPr>
              <w:rStyle w:val="21"/>
              <w:rFonts w:hint="eastAsia" w:ascii="宋体" w:hAnsi="宋体" w:eastAsia="宋体"/>
              <w:sz w:val="24"/>
            </w:rPr>
            <w:t>五、</w:t>
          </w:r>
          <w:r>
            <w:rPr>
              <w:rStyle w:val="21"/>
              <w:rFonts w:hint="eastAsia" w:ascii="宋体" w:hAnsi="宋体" w:eastAsia="宋体"/>
              <w:b/>
              <w:sz w:val="24"/>
            </w:rPr>
            <w:t>一</w:t>
          </w:r>
          <w:r>
            <w:rPr>
              <w:rStyle w:val="21"/>
              <w:rFonts w:hint="eastAsia" w:ascii="宋体" w:hAnsi="宋体" w:eastAsia="宋体" w:cstheme="majorBidi"/>
              <w:bCs/>
              <w:sz w:val="24"/>
            </w:rPr>
            <w:t>般公共预算财政拨款支出决算情况说明</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_Toc146616488 \h </w:instrText>
          </w:r>
          <w:r>
            <w:rPr>
              <w:rFonts w:hint="eastAsia" w:ascii="宋体" w:hAnsi="宋体" w:eastAsia="宋体"/>
              <w:sz w:val="24"/>
            </w:rPr>
            <w:fldChar w:fldCharType="separate"/>
          </w:r>
          <w:r>
            <w:rPr>
              <w:rFonts w:ascii="宋体" w:hAnsi="宋体" w:eastAsia="宋体"/>
              <w:sz w:val="24"/>
            </w:rPr>
            <w:t>8</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"_Toc146616492" </w:instrText>
          </w:r>
          <w:r>
            <w:fldChar w:fldCharType="separate"/>
          </w:r>
          <w:r>
            <w:rPr>
              <w:rStyle w:val="21"/>
              <w:rFonts w:hint="eastAsia" w:ascii="宋体" w:hAnsi="宋体" w:eastAsia="宋体"/>
              <w:sz w:val="24"/>
            </w:rPr>
            <w:t>六</w:t>
          </w:r>
          <w:r>
            <w:rPr>
              <w:rStyle w:val="21"/>
              <w:rFonts w:hint="eastAsia" w:ascii="宋体" w:hAnsi="宋体" w:eastAsia="宋体"/>
              <w:b/>
              <w:sz w:val="24"/>
            </w:rPr>
            <w:t>、一</w:t>
          </w:r>
          <w:r>
            <w:rPr>
              <w:rStyle w:val="21"/>
              <w:rFonts w:hint="eastAsia" w:ascii="宋体" w:hAnsi="宋体" w:eastAsia="宋体" w:cstheme="majorBidi"/>
              <w:bCs/>
              <w:sz w:val="24"/>
            </w:rPr>
            <w:t>般公共预算财政拨款基本支出决算情况说明</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_Toc146616492 \h </w:instrText>
          </w:r>
          <w:r>
            <w:rPr>
              <w:rFonts w:hint="eastAsia" w:ascii="宋体" w:hAnsi="宋体" w:eastAsia="宋体"/>
              <w:sz w:val="24"/>
            </w:rPr>
            <w:fldChar w:fldCharType="separate"/>
          </w:r>
          <w:r>
            <w:rPr>
              <w:rFonts w:ascii="宋体" w:hAnsi="宋体" w:eastAsia="宋体"/>
              <w:sz w:val="24"/>
            </w:rPr>
            <w:t>12</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"_Toc146616493" </w:instrText>
          </w:r>
          <w:r>
            <w:fldChar w:fldCharType="separate"/>
          </w:r>
          <w:r>
            <w:rPr>
              <w:rStyle w:val="21"/>
              <w:rFonts w:hint="eastAsia" w:ascii="宋体" w:hAnsi="宋体" w:eastAsia="宋体"/>
              <w:sz w:val="24"/>
            </w:rPr>
            <w:t>七、</w:t>
          </w:r>
          <w:r>
            <w:rPr>
              <w:rStyle w:val="21"/>
              <w:rFonts w:hint="eastAsia" w:ascii="宋体" w:hAnsi="宋体" w:eastAsia="宋体" w:cstheme="majorBidi"/>
              <w:bCs/>
              <w:sz w:val="24"/>
            </w:rPr>
            <w:t>财政拨款</w:t>
          </w:r>
          <w:r>
            <w:rPr>
              <w:rStyle w:val="21"/>
              <w:rFonts w:hint="eastAsia" w:ascii="宋体" w:hAnsi="宋体" w:eastAsia="宋体" w:cstheme="majorBidi"/>
              <w:b/>
              <w:bCs/>
              <w:sz w:val="24"/>
            </w:rPr>
            <w:t>“</w:t>
          </w:r>
          <w:r>
            <w:rPr>
              <w:rStyle w:val="21"/>
              <w:rFonts w:hint="eastAsia" w:ascii="宋体" w:hAnsi="宋体" w:eastAsia="宋体" w:cstheme="majorBidi"/>
              <w:bCs/>
              <w:sz w:val="24"/>
            </w:rPr>
            <w:t>三公”经费支出决算情况说明</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_Toc146616493 \h </w:instrText>
          </w:r>
          <w:r>
            <w:rPr>
              <w:rFonts w:hint="eastAsia" w:ascii="宋体" w:hAnsi="宋体" w:eastAsia="宋体"/>
              <w:sz w:val="24"/>
            </w:rPr>
            <w:fldChar w:fldCharType="separate"/>
          </w:r>
          <w:r>
            <w:rPr>
              <w:rFonts w:ascii="宋体" w:hAnsi="宋体" w:eastAsia="宋体"/>
              <w:sz w:val="24"/>
            </w:rPr>
            <w:t>13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"_Toc146616496" </w:instrText>
          </w:r>
          <w:r>
            <w:fldChar w:fldCharType="separate"/>
          </w:r>
          <w:r>
            <w:rPr>
              <w:rStyle w:val="21"/>
              <w:rFonts w:hint="eastAsia" w:ascii="宋体" w:hAnsi="宋体" w:eastAsia="宋体"/>
              <w:sz w:val="24"/>
            </w:rPr>
            <w:t>八、</w:t>
          </w:r>
          <w:r>
            <w:rPr>
              <w:rStyle w:val="21"/>
              <w:rFonts w:hint="eastAsia" w:ascii="宋体" w:hAnsi="宋体" w:eastAsia="宋体" w:cstheme="majorBidi"/>
              <w:bCs/>
              <w:sz w:val="24"/>
            </w:rPr>
            <w:t>政府性基金预算支出决算情况说明</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_Toc146616496 \h </w:instrText>
          </w:r>
          <w:r>
            <w:rPr>
              <w:rFonts w:hint="eastAsia" w:ascii="宋体" w:hAnsi="宋体" w:eastAsia="宋体"/>
              <w:sz w:val="24"/>
            </w:rPr>
            <w:fldChar w:fldCharType="separate"/>
          </w:r>
          <w:r>
            <w:rPr>
              <w:rFonts w:ascii="宋体" w:hAnsi="宋体" w:eastAsia="宋体"/>
              <w:sz w:val="24"/>
            </w:rPr>
            <w:t>15</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"_Toc146616497" </w:instrText>
          </w:r>
          <w:r>
            <w:fldChar w:fldCharType="separate"/>
          </w:r>
          <w:r>
            <w:rPr>
              <w:rStyle w:val="21"/>
              <w:rFonts w:hint="eastAsia" w:ascii="宋体" w:hAnsi="宋体" w:eastAsia="宋体" w:cstheme="majorBidi"/>
              <w:bCs/>
              <w:sz w:val="24"/>
            </w:rPr>
            <w:t>九、 国有资本经营预算支出决算情况说明</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_Toc146616497 \h </w:instrText>
          </w:r>
          <w:r>
            <w:rPr>
              <w:rFonts w:hint="eastAsia" w:ascii="宋体" w:hAnsi="宋体" w:eastAsia="宋体"/>
              <w:sz w:val="24"/>
            </w:rPr>
            <w:fldChar w:fldCharType="separate"/>
          </w:r>
          <w:r>
            <w:rPr>
              <w:rFonts w:ascii="宋体" w:hAnsi="宋体" w:eastAsia="宋体"/>
              <w:sz w:val="24"/>
            </w:rPr>
            <w:t>15</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"_Toc146616498" </w:instrText>
          </w:r>
          <w:r>
            <w:fldChar w:fldCharType="separate"/>
          </w:r>
          <w:r>
            <w:rPr>
              <w:rStyle w:val="21"/>
              <w:rFonts w:hint="eastAsia" w:ascii="宋体" w:hAnsi="宋体" w:eastAsia="宋体" w:cstheme="majorBidi"/>
              <w:bCs/>
              <w:sz w:val="24"/>
            </w:rPr>
            <w:t>十、 其他重要事项的情况说明</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_Toc146616498 \h </w:instrText>
          </w:r>
          <w:r>
            <w:rPr>
              <w:rFonts w:hint="eastAsia" w:ascii="宋体" w:hAnsi="宋体" w:eastAsia="宋体"/>
              <w:sz w:val="24"/>
            </w:rPr>
            <w:fldChar w:fldCharType="separate"/>
          </w:r>
          <w:r>
            <w:rPr>
              <w:rFonts w:ascii="宋体" w:hAnsi="宋体" w:eastAsia="宋体"/>
              <w:sz w:val="24"/>
            </w:rPr>
            <w:t>15</w:t>
          </w:r>
          <w:r>
            <w:rPr>
              <w:rFonts w:hint="eastAsia" w:ascii="宋体" w:hAnsi="宋体" w:eastAsia="宋体"/>
              <w:sz w:val="24"/>
            </w:rPr>
            <w:fldChar w:fldCharType="end"/>
          </w:r>
          <w:r>
            <w:rPr>
              <w:rFonts w:hint="eastAsia" w:ascii="宋体" w:hAnsi="宋体" w:eastAsia="宋体"/>
              <w:sz w:val="24"/>
            </w:rPr>
            <w:fldChar w:fldCharType="end"/>
          </w:r>
        </w:p>
        <w:p>
          <w:pPr>
            <w:pStyle w:val="12"/>
            <w:spacing w:line="576" w:lineRule="exact"/>
            <w:rPr>
              <w:rFonts w:ascii="仿宋_GB2312" w:hAnsi="宋体" w:eastAsia="仿宋_GB2312" w:cstheme="minorBidi"/>
              <w:sz w:val="24"/>
              <w:szCs w:val="24"/>
            </w:rPr>
          </w:pPr>
          <w:r>
            <w:fldChar w:fldCharType="begin"/>
          </w:r>
          <w:r>
            <w:instrText xml:space="preserve"> HYPERLINK \l "_Toc146616502" </w:instrText>
          </w:r>
          <w:r>
            <w:fldChar w:fldCharType="separate"/>
          </w:r>
          <w:r>
            <w:rPr>
              <w:rStyle w:val="21"/>
              <w:rFonts w:hint="eastAsia" w:ascii="仿宋_GB2312" w:hAnsi="宋体" w:eastAsia="仿宋_GB2312"/>
              <w:bCs/>
              <w:kern w:val="44"/>
              <w:sz w:val="24"/>
              <w:szCs w:val="24"/>
            </w:rPr>
            <w:t>第三部分</w:t>
          </w:r>
          <w:r>
            <w:rPr>
              <w:rStyle w:val="21"/>
              <w:rFonts w:hint="eastAsia" w:ascii="仿宋_GB2312" w:hAnsi="宋体" w:eastAsia="仿宋_GB2312"/>
              <w:sz w:val="24"/>
              <w:szCs w:val="24"/>
            </w:rPr>
            <w:t xml:space="preserve"> 名</w:t>
          </w:r>
          <w:r>
            <w:rPr>
              <w:rStyle w:val="21"/>
              <w:rFonts w:hint="eastAsia" w:ascii="仿宋_GB2312" w:hAnsi="宋体" w:eastAsia="仿宋_GB2312"/>
              <w:bCs/>
              <w:kern w:val="44"/>
              <w:sz w:val="24"/>
              <w:szCs w:val="24"/>
            </w:rPr>
            <w:t>词解释</w:t>
          </w:r>
          <w:r>
            <w:rPr>
              <w:rFonts w:hint="eastAsia" w:ascii="仿宋_GB2312" w:hAnsi="宋体" w:eastAsia="仿宋_GB2312"/>
              <w:sz w:val="24"/>
              <w:szCs w:val="24"/>
            </w:rPr>
            <w:tab/>
          </w:r>
          <w:r>
            <w:rPr>
              <w:rFonts w:hint="eastAsia" w:ascii="仿宋_GB2312" w:hAnsi="宋体" w:eastAsia="仿宋_GB2312"/>
              <w:sz w:val="24"/>
              <w:szCs w:val="24"/>
            </w:rPr>
            <w:fldChar w:fldCharType="begin"/>
          </w:r>
          <w:r>
            <w:rPr>
              <w:rFonts w:hint="eastAsia" w:ascii="仿宋_GB2312" w:hAnsi="宋体" w:eastAsia="仿宋_GB2312"/>
              <w:sz w:val="24"/>
              <w:szCs w:val="24"/>
            </w:rPr>
            <w:instrText xml:space="preserve"> PAGEREF _Toc146616502 \h </w:instrText>
          </w:r>
          <w:r>
            <w:rPr>
              <w:rFonts w:hint="eastAsia" w:ascii="仿宋_GB2312" w:hAnsi="宋体" w:eastAsia="仿宋_GB2312"/>
              <w:sz w:val="24"/>
              <w:szCs w:val="24"/>
            </w:rPr>
            <w:fldChar w:fldCharType="separate"/>
          </w:r>
          <w:r>
            <w:rPr>
              <w:rFonts w:ascii="仿宋_GB2312" w:hAnsi="宋体" w:eastAsia="仿宋_GB2312"/>
              <w:sz w:val="24"/>
              <w:szCs w:val="24"/>
            </w:rPr>
            <w:t>17</w:t>
          </w:r>
          <w:r>
            <w:rPr>
              <w:rFonts w:hint="eastAsia" w:ascii="仿宋_GB2312" w:hAnsi="宋体" w:eastAsia="仿宋_GB2312"/>
              <w:sz w:val="24"/>
              <w:szCs w:val="24"/>
            </w:rPr>
            <w:fldChar w:fldCharType="end"/>
          </w:r>
          <w:r>
            <w:rPr>
              <w:rFonts w:hint="eastAsia" w:ascii="仿宋_GB2312" w:hAnsi="宋体" w:eastAsia="仿宋_GB2312"/>
              <w:sz w:val="24"/>
              <w:szCs w:val="24"/>
            </w:rPr>
            <w:fldChar w:fldCharType="end"/>
          </w:r>
        </w:p>
        <w:p>
          <w:pPr>
            <w:pStyle w:val="12"/>
            <w:spacing w:line="576" w:lineRule="exact"/>
            <w:rPr>
              <w:rFonts w:ascii="仿宋_GB2312" w:hAnsi="宋体" w:eastAsia="仿宋_GB2312" w:cstheme="minorBidi"/>
              <w:sz w:val="24"/>
              <w:szCs w:val="24"/>
            </w:rPr>
          </w:pPr>
          <w:r>
            <w:fldChar w:fldCharType="begin"/>
          </w:r>
          <w:r>
            <w:instrText xml:space="preserve"> HYPERLINK \l "_Toc146616503" </w:instrText>
          </w:r>
          <w:r>
            <w:fldChar w:fldCharType="separate"/>
          </w:r>
          <w:r>
            <w:rPr>
              <w:rStyle w:val="21"/>
              <w:rFonts w:hint="eastAsia" w:ascii="仿宋_GB2312" w:hAnsi="宋体" w:eastAsia="仿宋_GB2312"/>
              <w:sz w:val="24"/>
              <w:szCs w:val="24"/>
            </w:rPr>
            <w:t>第</w:t>
          </w:r>
          <w:r>
            <w:rPr>
              <w:rStyle w:val="21"/>
              <w:rFonts w:hint="eastAsia" w:ascii="仿宋_GB2312" w:hAnsi="宋体" w:eastAsia="仿宋_GB2312"/>
              <w:bCs/>
              <w:kern w:val="44"/>
              <w:sz w:val="24"/>
              <w:szCs w:val="24"/>
            </w:rPr>
            <w:t>四部分 附件</w:t>
          </w:r>
          <w:r>
            <w:rPr>
              <w:rFonts w:hint="eastAsia" w:ascii="仿宋_GB2312" w:hAnsi="宋体" w:eastAsia="仿宋_GB2312"/>
              <w:sz w:val="24"/>
              <w:szCs w:val="24"/>
            </w:rPr>
            <w:tab/>
          </w:r>
          <w:r>
            <w:rPr>
              <w:rFonts w:hint="eastAsia" w:ascii="仿宋_GB2312" w:hAnsi="宋体" w:eastAsia="仿宋_GB2312"/>
              <w:sz w:val="24"/>
              <w:szCs w:val="24"/>
            </w:rPr>
            <w:fldChar w:fldCharType="begin"/>
          </w:r>
          <w:r>
            <w:rPr>
              <w:rFonts w:hint="eastAsia" w:ascii="仿宋_GB2312" w:hAnsi="宋体" w:eastAsia="仿宋_GB2312"/>
              <w:sz w:val="24"/>
              <w:szCs w:val="24"/>
            </w:rPr>
            <w:instrText xml:space="preserve"> PAGEREF _Toc146616503 \h </w:instrText>
          </w:r>
          <w:r>
            <w:rPr>
              <w:rFonts w:hint="eastAsia" w:ascii="仿宋_GB2312" w:hAnsi="宋体" w:eastAsia="仿宋_GB2312"/>
              <w:sz w:val="24"/>
              <w:szCs w:val="24"/>
            </w:rPr>
            <w:fldChar w:fldCharType="separate"/>
          </w:r>
          <w:r>
            <w:rPr>
              <w:rFonts w:ascii="仿宋_GB2312" w:hAnsi="宋体" w:eastAsia="仿宋_GB2312"/>
              <w:sz w:val="24"/>
              <w:szCs w:val="24"/>
            </w:rPr>
            <w:t>22</w:t>
          </w:r>
          <w:r>
            <w:rPr>
              <w:rFonts w:hint="eastAsia" w:ascii="仿宋_GB2312" w:hAnsi="宋体" w:eastAsia="仿宋_GB2312"/>
              <w:sz w:val="24"/>
              <w:szCs w:val="24"/>
            </w:rPr>
            <w:fldChar w:fldCharType="end"/>
          </w:r>
          <w:r>
            <w:rPr>
              <w:rFonts w:hint="eastAsia" w:ascii="仿宋_GB2312" w:hAnsi="宋体" w:eastAsia="仿宋_GB2312"/>
              <w:sz w:val="24"/>
              <w:szCs w:val="24"/>
            </w:rPr>
            <w:fldChar w:fldCharType="end"/>
          </w:r>
        </w:p>
        <w:p>
          <w:pPr>
            <w:pStyle w:val="12"/>
            <w:spacing w:line="576" w:lineRule="exact"/>
            <w:rPr>
              <w:rFonts w:ascii="仿宋_GB2312" w:hAnsi="宋体" w:eastAsia="仿宋_GB2312" w:cstheme="minorBidi"/>
              <w:sz w:val="24"/>
              <w:szCs w:val="24"/>
            </w:rPr>
          </w:pPr>
          <w:r>
            <w:fldChar w:fldCharType="begin"/>
          </w:r>
          <w:r>
            <w:instrText xml:space="preserve"> HYPERLINK \l "_Toc146616505" </w:instrText>
          </w:r>
          <w:r>
            <w:fldChar w:fldCharType="separate"/>
          </w:r>
          <w:r>
            <w:rPr>
              <w:rStyle w:val="21"/>
              <w:rFonts w:hint="eastAsia" w:ascii="仿宋_GB2312" w:hAnsi="宋体" w:eastAsia="仿宋_GB2312"/>
              <w:sz w:val="24"/>
              <w:szCs w:val="24"/>
            </w:rPr>
            <w:t>第</w:t>
          </w:r>
          <w:r>
            <w:rPr>
              <w:rStyle w:val="21"/>
              <w:rFonts w:hint="eastAsia" w:ascii="仿宋_GB2312" w:hAnsi="宋体" w:eastAsia="仿宋_GB2312"/>
              <w:bCs/>
              <w:kern w:val="44"/>
              <w:sz w:val="24"/>
              <w:szCs w:val="24"/>
            </w:rPr>
            <w:t>五部分 附表</w:t>
          </w:r>
          <w:r>
            <w:rPr>
              <w:rFonts w:hint="eastAsia" w:ascii="仿宋_GB2312" w:hAnsi="宋体" w:eastAsia="仿宋_GB2312"/>
              <w:sz w:val="24"/>
              <w:szCs w:val="24"/>
            </w:rPr>
            <w:tab/>
          </w:r>
          <w:r>
            <w:rPr>
              <w:rFonts w:hint="eastAsia" w:ascii="仿宋_GB2312" w:hAnsi="宋体" w:eastAsia="仿宋_GB2312"/>
              <w:sz w:val="24"/>
              <w:szCs w:val="24"/>
            </w:rPr>
            <w:fldChar w:fldCharType="begin"/>
          </w:r>
          <w:r>
            <w:rPr>
              <w:rFonts w:hint="eastAsia" w:ascii="仿宋_GB2312" w:hAnsi="宋体" w:eastAsia="仿宋_GB2312"/>
              <w:sz w:val="24"/>
              <w:szCs w:val="24"/>
            </w:rPr>
            <w:instrText xml:space="preserve"> PAGEREF _Toc146616505 \h </w:instrText>
          </w:r>
          <w:r>
            <w:rPr>
              <w:rFonts w:hint="eastAsia" w:ascii="仿宋_GB2312" w:hAnsi="宋体" w:eastAsia="仿宋_GB2312"/>
              <w:sz w:val="24"/>
              <w:szCs w:val="24"/>
            </w:rPr>
            <w:fldChar w:fldCharType="separate"/>
          </w:r>
          <w:r>
            <w:rPr>
              <w:rFonts w:ascii="仿宋_GB2312" w:hAnsi="宋体" w:eastAsia="仿宋_GB2312"/>
              <w:sz w:val="24"/>
              <w:szCs w:val="24"/>
            </w:rPr>
            <w:t>143</w:t>
          </w:r>
          <w:r>
            <w:rPr>
              <w:rFonts w:hint="eastAsia" w:ascii="仿宋_GB2312" w:hAnsi="宋体" w:eastAsia="仿宋_GB2312"/>
              <w:sz w:val="24"/>
              <w:szCs w:val="24"/>
            </w:rPr>
            <w:fldChar w:fldCharType="end"/>
          </w:r>
          <w:r>
            <w:rPr>
              <w:rFonts w:hint="eastAsia" w:ascii="仿宋_GB2312" w:hAnsi="宋体" w:eastAsia="仿宋_GB2312"/>
              <w:sz w:val="24"/>
              <w:szCs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"_Toc146616506" </w:instrText>
          </w:r>
          <w:r>
            <w:fldChar w:fldCharType="separate"/>
          </w:r>
          <w:r>
            <w:rPr>
              <w:rStyle w:val="21"/>
              <w:rFonts w:hint="eastAsia" w:ascii="宋体" w:hAnsi="宋体" w:eastAsia="宋体"/>
              <w:sz w:val="24"/>
            </w:rPr>
            <w:t>一、收入支出决算总表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_Toc146616506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"_Toc146616507" </w:instrText>
          </w:r>
          <w:r>
            <w:fldChar w:fldCharType="separate"/>
          </w:r>
          <w:r>
            <w:rPr>
              <w:rStyle w:val="21"/>
              <w:rFonts w:hint="eastAsia" w:ascii="宋体" w:hAnsi="宋体" w:eastAsia="宋体"/>
              <w:sz w:val="24"/>
            </w:rPr>
            <w:t>二、收入决算表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_Toc146616507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"_Toc146616508" </w:instrText>
          </w:r>
          <w:r>
            <w:fldChar w:fldCharType="separate"/>
          </w:r>
          <w:r>
            <w:rPr>
              <w:rStyle w:val="21"/>
              <w:rFonts w:hint="eastAsia" w:ascii="宋体" w:hAnsi="宋体" w:eastAsia="宋体"/>
              <w:sz w:val="24"/>
            </w:rPr>
            <w:t>三、支出决算表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_Toc146616508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"_Toc146616509" </w:instrText>
          </w:r>
          <w:r>
            <w:fldChar w:fldCharType="separate"/>
          </w:r>
          <w:r>
            <w:rPr>
              <w:rStyle w:val="21"/>
              <w:rFonts w:hint="eastAsia" w:ascii="宋体" w:hAnsi="宋体" w:eastAsia="宋体"/>
              <w:sz w:val="24"/>
            </w:rPr>
            <w:t>四、财政拨款收入支出决算总表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_Toc146616509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"_Toc146616510" </w:instrText>
          </w:r>
          <w:r>
            <w:fldChar w:fldCharType="separate"/>
          </w:r>
          <w:r>
            <w:rPr>
              <w:rStyle w:val="21"/>
              <w:rFonts w:hint="eastAsia" w:ascii="宋体" w:hAnsi="宋体" w:eastAsia="宋体"/>
              <w:sz w:val="24"/>
            </w:rPr>
            <w:t>五、财政拨款支出决算明细表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_Toc146616510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"_Toc146616511" </w:instrText>
          </w:r>
          <w:r>
            <w:fldChar w:fldCharType="separate"/>
          </w:r>
          <w:r>
            <w:rPr>
              <w:rStyle w:val="21"/>
              <w:rFonts w:hint="eastAsia" w:ascii="宋体" w:hAnsi="宋体" w:eastAsia="宋体"/>
              <w:sz w:val="24"/>
            </w:rPr>
            <w:t>六、一般公共预算财政拨款支出决算表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_Toc146616511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"_Toc146616512" </w:instrText>
          </w:r>
          <w:r>
            <w:fldChar w:fldCharType="separate"/>
          </w:r>
          <w:r>
            <w:rPr>
              <w:rStyle w:val="21"/>
              <w:rFonts w:hint="eastAsia" w:ascii="宋体" w:hAnsi="宋体" w:eastAsia="宋体"/>
              <w:sz w:val="24"/>
            </w:rPr>
            <w:t>七、一般公共预算财政拨款支出决算明细表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_Toc146616512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"_Toc146616513" </w:instrText>
          </w:r>
          <w:r>
            <w:fldChar w:fldCharType="separate"/>
          </w:r>
          <w:r>
            <w:rPr>
              <w:rStyle w:val="21"/>
              <w:rFonts w:hint="eastAsia" w:ascii="宋体" w:hAnsi="宋体" w:eastAsia="宋体"/>
              <w:sz w:val="24"/>
            </w:rPr>
            <w:t>八、一般公共预算财政拨款基本支出决算表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_Toc146616513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"_Toc146616514" </w:instrText>
          </w:r>
          <w:r>
            <w:fldChar w:fldCharType="separate"/>
          </w:r>
          <w:r>
            <w:rPr>
              <w:rStyle w:val="21"/>
              <w:rFonts w:hint="eastAsia" w:ascii="宋体" w:hAnsi="宋体" w:eastAsia="宋体"/>
              <w:sz w:val="24"/>
            </w:rPr>
            <w:t>九、一般公共预算财政拨款项目支出决算表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_Toc146616514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"_Toc146616515" </w:instrText>
          </w:r>
          <w:r>
            <w:fldChar w:fldCharType="separate"/>
          </w:r>
          <w:r>
            <w:rPr>
              <w:rStyle w:val="21"/>
              <w:rFonts w:hint="eastAsia" w:ascii="宋体" w:hAnsi="宋体" w:eastAsia="宋体"/>
              <w:sz w:val="24"/>
            </w:rPr>
            <w:t>十、政府性基金预算财政拨款收入支出决算表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_Toc146616515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"_Toc146616516" </w:instrText>
          </w:r>
          <w:r>
            <w:fldChar w:fldCharType="separate"/>
          </w:r>
          <w:r>
            <w:rPr>
              <w:rStyle w:val="21"/>
              <w:rFonts w:hint="eastAsia" w:ascii="宋体" w:hAnsi="宋体" w:eastAsia="宋体"/>
              <w:sz w:val="24"/>
            </w:rPr>
            <w:t>十一、国有资本经营预算财政拨款收入支出决算表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_Toc146616516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宋体" w:hAnsi="宋体" w:eastAsia="宋体" w:cstheme="minorBidi"/>
              <w:sz w:val="24"/>
            </w:rPr>
          </w:pPr>
          <w:r>
            <w:fldChar w:fldCharType="begin"/>
          </w:r>
          <w:r>
            <w:instrText xml:space="preserve"> HYPERLINK \l "_Toc146616517" </w:instrText>
          </w:r>
          <w:r>
            <w:fldChar w:fldCharType="separate"/>
          </w:r>
          <w:r>
            <w:rPr>
              <w:rStyle w:val="21"/>
              <w:rFonts w:hint="eastAsia" w:ascii="宋体" w:hAnsi="宋体" w:eastAsia="宋体"/>
              <w:sz w:val="24"/>
            </w:rPr>
            <w:t>十二、国有资本经营预算财政拨款支出决算表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_Toc146616517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pStyle w:val="14"/>
            <w:spacing w:line="576" w:lineRule="exact"/>
            <w:ind w:left="640"/>
            <w:rPr>
              <w:rFonts w:ascii="仿宋_GB2312" w:hAnsiTheme="minorHAnsi" w:cstheme="minorBidi"/>
              <w:sz w:val="24"/>
            </w:rPr>
          </w:pPr>
          <w:r>
            <w:fldChar w:fldCharType="begin"/>
          </w:r>
          <w:r>
            <w:instrText xml:space="preserve"> HYPERLINK \l "_Toc146616518" </w:instrText>
          </w:r>
          <w:r>
            <w:fldChar w:fldCharType="separate"/>
          </w:r>
          <w:r>
            <w:rPr>
              <w:rStyle w:val="21"/>
              <w:rFonts w:hint="eastAsia" w:ascii="宋体" w:hAnsi="宋体" w:eastAsia="宋体"/>
              <w:sz w:val="24"/>
            </w:rPr>
            <w:t>十三、财政拨款“三公”经费支出决算表</w:t>
          </w:r>
          <w:r>
            <w:rPr>
              <w:rFonts w:hint="eastAsia" w:ascii="宋体" w:hAnsi="宋体" w:eastAsia="宋体"/>
              <w:sz w:val="24"/>
            </w:rPr>
            <w:tab/>
          </w:r>
          <w:r>
            <w:rPr>
              <w:rFonts w:hint="eastAsia" w:ascii="宋体" w:hAnsi="宋体" w:eastAsia="宋体"/>
              <w:sz w:val="24"/>
            </w:rPr>
            <w:fldChar w:fldCharType="begin"/>
          </w:r>
          <w:r>
            <w:rPr>
              <w:rFonts w:hint="eastAsia" w:ascii="宋体" w:hAnsi="宋体" w:eastAsia="宋体"/>
              <w:sz w:val="24"/>
            </w:rPr>
            <w:instrText xml:space="preserve"> PAGEREF _Toc146616518 \h </w:instrText>
          </w:r>
          <w:r>
            <w:rPr>
              <w:rFonts w:hint="eastAsia" w:ascii="宋体" w:hAnsi="宋体" w:eastAsia="宋体"/>
              <w:sz w:val="24"/>
            </w:rPr>
            <w:fldChar w:fldCharType="separate"/>
          </w:r>
          <w:r>
            <w:rPr>
              <w:rFonts w:ascii="宋体" w:hAnsi="宋体" w:eastAsia="宋体"/>
              <w:sz w:val="24"/>
            </w:rPr>
            <w:t>143</w:t>
          </w:r>
          <w:r>
            <w:rPr>
              <w:rFonts w:hint="eastAsia" w:ascii="宋体" w:hAnsi="宋体" w:eastAsia="宋体"/>
              <w:sz w:val="24"/>
            </w:rPr>
            <w:fldChar w:fldCharType="end"/>
          </w:r>
          <w:r>
            <w:rPr>
              <w:rFonts w:hint="eastAsia" w:ascii="宋体" w:hAnsi="宋体" w:eastAsia="宋体"/>
              <w:sz w:val="24"/>
            </w:rPr>
            <w:fldChar w:fldCharType="end"/>
          </w:r>
        </w:p>
        <w:p>
          <w:pPr>
            <w:rPr>
              <w:rFonts w:ascii="仿宋_GB2312"/>
              <w:sz w:val="24"/>
            </w:rPr>
          </w:pPr>
          <w:r>
            <w:rPr>
              <w:rFonts w:hint="eastAsia" w:ascii="仿宋_GB2312"/>
              <w:b/>
              <w:bCs/>
              <w:sz w:val="24"/>
              <w:lang w:val="zh-CN"/>
            </w:rPr>
            <w:fldChar w:fldCharType="end"/>
          </w:r>
        </w:p>
      </w:sdtContent>
    </w:sdt>
    <w:p>
      <w:pPr>
        <w:spacing w:line="576" w:lineRule="exact"/>
      </w:pPr>
    </w:p>
    <w:p>
      <w:pPr>
        <w:pStyle w:val="3"/>
        <w:spacing w:line="576" w:lineRule="exact"/>
        <w:jc w:val="center"/>
        <w:rPr>
          <w:rFonts w:ascii="黑体" w:hAnsi="黑体" w:eastAsia="黑体"/>
          <w:b w:val="0"/>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4" w:name="_Toc146616477"/>
      <w:bookmarkStart w:id="15" w:name="_Toc15396599"/>
      <w:bookmarkStart w:id="16" w:name="_Toc15377196"/>
    </w:p>
    <w:p>
      <w:pPr>
        <w:pStyle w:val="3"/>
        <w:spacing w:line="576" w:lineRule="exact"/>
        <w:jc w:val="center"/>
        <w:rPr>
          <w:rStyle w:val="32"/>
          <w:rFonts w:ascii="黑体" w:hAnsi="黑体" w:eastAsia="黑体"/>
          <w:b/>
          <w:bCs w:val="0"/>
        </w:rPr>
      </w:pPr>
      <w:r>
        <w:rPr>
          <w:rFonts w:hint="eastAsia" w:ascii="黑体" w:hAnsi="黑体" w:eastAsia="黑体"/>
          <w:b w:val="0"/>
        </w:rPr>
        <w:t xml:space="preserve">第一部分 </w:t>
      </w:r>
      <w:r>
        <w:rPr>
          <w:rStyle w:val="32"/>
          <w:rFonts w:hint="eastAsia" w:ascii="黑体" w:hAnsi="黑体" w:eastAsia="黑体"/>
          <w:b w:val="0"/>
          <w:bCs w:val="0"/>
        </w:rPr>
        <w:t>部门概况</w:t>
      </w:r>
      <w:bookmarkEnd w:id="14"/>
      <w:bookmarkEnd w:id="15"/>
      <w:bookmarkEnd w:id="16"/>
    </w:p>
    <w:p>
      <w:pPr>
        <w:widowControl/>
        <w:spacing w:line="576" w:lineRule="exact"/>
        <w:jc w:val="left"/>
        <w:rPr>
          <w:rFonts w:ascii="黑体" w:eastAsia="黑体"/>
          <w:szCs w:val="32"/>
        </w:rPr>
      </w:pPr>
    </w:p>
    <w:p>
      <w:pPr>
        <w:pStyle w:val="4"/>
        <w:spacing w:line="576" w:lineRule="exact"/>
        <w:ind w:firstLine="640" w:firstLineChars="200"/>
        <w:rPr>
          <w:rFonts w:ascii="黑体" w:hAnsi="黑体" w:eastAsia="黑体"/>
          <w:b w:val="0"/>
        </w:rPr>
      </w:pPr>
      <w:bookmarkStart w:id="17" w:name="_Toc15377197"/>
      <w:bookmarkStart w:id="18" w:name="_Toc15396600"/>
      <w:bookmarkStart w:id="19" w:name="_Toc146616478"/>
      <w:r>
        <w:rPr>
          <w:rFonts w:hint="eastAsia" w:ascii="黑体" w:hAnsi="黑体" w:eastAsia="黑体"/>
          <w:b w:val="0"/>
        </w:rPr>
        <w:t>一、</w:t>
      </w:r>
      <w:bookmarkEnd w:id="17"/>
      <w:bookmarkEnd w:id="18"/>
      <w:r>
        <w:rPr>
          <w:rFonts w:hint="eastAsia" w:ascii="黑体" w:hAnsi="黑体" w:eastAsia="黑体"/>
          <w:b w:val="0"/>
        </w:rPr>
        <w:t>部门职责</w:t>
      </w:r>
      <w:bookmarkEnd w:id="19"/>
    </w:p>
    <w:p>
      <w:pPr>
        <w:spacing w:line="576" w:lineRule="exact"/>
        <w:ind w:firstLine="640" w:firstLineChars="200"/>
        <w:rPr>
          <w:rFonts w:ascii="仿宋_GB2312" w:hAnsi="仿宋"/>
          <w:szCs w:val="32"/>
        </w:rPr>
      </w:pPr>
      <w:r>
        <w:rPr>
          <w:rFonts w:hint="eastAsia" w:ascii="仿宋_GB2312" w:hAnsi="仿宋"/>
          <w:szCs w:val="32"/>
        </w:rPr>
        <w:t>1.根据市政府授权,依照《中华人民共和国公司法》《中华人民共和国企业国有资产法》等法律和行政法规履行出资人职责,监管市属企业的国有资产,加强国有资产的管理工作。</w:t>
      </w:r>
    </w:p>
    <w:p>
      <w:pPr>
        <w:spacing w:line="576" w:lineRule="exact"/>
        <w:ind w:firstLine="640" w:firstLineChars="200"/>
        <w:rPr>
          <w:rFonts w:ascii="仿宋_GB2312" w:hAnsi="仿宋"/>
          <w:szCs w:val="32"/>
        </w:rPr>
      </w:pPr>
      <w:r>
        <w:rPr>
          <w:rFonts w:hint="eastAsia" w:ascii="仿宋_GB2312" w:hAnsi="仿宋"/>
          <w:szCs w:val="32"/>
        </w:rPr>
        <w:t>2.研究拟订国有资产管理的办法和制度规定,依法对县区国有资产管理进行指导。</w:t>
      </w:r>
    </w:p>
    <w:p>
      <w:pPr>
        <w:spacing w:line="576" w:lineRule="exact"/>
        <w:ind w:firstLine="640" w:firstLineChars="200"/>
        <w:rPr>
          <w:rFonts w:ascii="仿宋_GB2312" w:hAnsi="仿宋"/>
          <w:szCs w:val="32"/>
        </w:rPr>
      </w:pPr>
      <w:r>
        <w:rPr>
          <w:rFonts w:hint="eastAsia" w:ascii="仿宋_GB2312" w:hAnsi="仿宋"/>
          <w:szCs w:val="32"/>
        </w:rPr>
        <w:t>3.承担监督所监管企业国有资产保值增值的责任,负责所监管企业工资总额管理工作,参与拟订所监管企业负责人收入分配政策并组织实施。</w:t>
      </w:r>
    </w:p>
    <w:p>
      <w:pPr>
        <w:spacing w:line="576" w:lineRule="exact"/>
        <w:ind w:firstLine="640" w:firstLineChars="200"/>
        <w:rPr>
          <w:rFonts w:ascii="仿宋_GB2312" w:hAnsi="仿宋"/>
          <w:szCs w:val="32"/>
        </w:rPr>
      </w:pPr>
      <w:r>
        <w:rPr>
          <w:rFonts w:hint="eastAsia" w:ascii="仿宋_GB2312" w:hAnsi="仿宋"/>
          <w:szCs w:val="32"/>
        </w:rPr>
        <w:t>4.指导推进国有企业改革重组和现代企业制度建设,完善公司法人治理结构,推动国有经济布局和结构的战略性调整。</w:t>
      </w:r>
    </w:p>
    <w:p>
      <w:pPr>
        <w:spacing w:line="576" w:lineRule="exact"/>
        <w:ind w:firstLine="640" w:firstLineChars="200"/>
        <w:rPr>
          <w:rFonts w:ascii="仿宋_GB2312" w:hAnsi="仿宋"/>
          <w:szCs w:val="32"/>
        </w:rPr>
      </w:pPr>
      <w:r>
        <w:rPr>
          <w:rFonts w:hint="eastAsia" w:ascii="仿宋_GB2312" w:hAnsi="仿宋"/>
          <w:szCs w:val="32"/>
        </w:rPr>
        <w:t>5.通过法定程序对所监管企业负责人进行任免、考核并根据其经营业绩进行奖惩；建立符合社会主义市场经济体制和现代企业制度要求的选人、用人机制,完善经营者激励和约束制度。</w:t>
      </w:r>
    </w:p>
    <w:p>
      <w:pPr>
        <w:spacing w:line="576" w:lineRule="exact"/>
        <w:ind w:firstLine="640" w:firstLineChars="200"/>
        <w:rPr>
          <w:rFonts w:ascii="仿宋_GB2312" w:hAnsi="仿宋"/>
          <w:szCs w:val="32"/>
        </w:rPr>
      </w:pPr>
      <w:r>
        <w:rPr>
          <w:rFonts w:hint="eastAsia" w:ascii="仿宋_GB2312" w:hAnsi="仿宋"/>
          <w:szCs w:val="32"/>
        </w:rPr>
        <w:t>6.编制国有资本经营预算和执行方案；监缴所监管企业国有资本收益和市级行政事业单位经营性资产收益。</w:t>
      </w:r>
    </w:p>
    <w:p>
      <w:pPr>
        <w:spacing w:line="576" w:lineRule="exact"/>
        <w:ind w:firstLine="640" w:firstLineChars="200"/>
        <w:rPr>
          <w:rFonts w:ascii="仿宋_GB2312" w:hAnsi="仿宋"/>
          <w:szCs w:val="32"/>
        </w:rPr>
      </w:pPr>
      <w:r>
        <w:rPr>
          <w:rFonts w:hint="eastAsia" w:ascii="仿宋_GB2312" w:hAnsi="仿宋"/>
          <w:szCs w:val="32"/>
        </w:rPr>
        <w:t>7.负责对国有企业及行政事业单位经营性国有资产实行监督管理,承担产权界定、清产核资、资产评估、资产处置等项工作,确保资产运行安全,提高使用效能。</w:t>
      </w:r>
    </w:p>
    <w:p>
      <w:pPr>
        <w:spacing w:line="576" w:lineRule="exact"/>
        <w:ind w:firstLine="640" w:firstLineChars="200"/>
        <w:rPr>
          <w:rFonts w:ascii="仿宋_GB2312" w:hAnsi="仿宋"/>
          <w:szCs w:val="32"/>
        </w:rPr>
      </w:pPr>
      <w:r>
        <w:rPr>
          <w:rFonts w:hint="eastAsia" w:ascii="仿宋_GB2312" w:hAnsi="仿宋"/>
          <w:szCs w:val="32"/>
        </w:rPr>
        <w:t>8.协调中央、省和外地在广国有企业改革发展中与地方相关的事宜。</w:t>
      </w:r>
    </w:p>
    <w:p>
      <w:pPr>
        <w:spacing w:line="576" w:lineRule="exact"/>
        <w:ind w:firstLine="640" w:firstLineChars="200"/>
        <w:rPr>
          <w:rFonts w:ascii="仿宋_GB2312" w:hAnsi="仿宋"/>
          <w:szCs w:val="32"/>
        </w:rPr>
      </w:pPr>
      <w:r>
        <w:rPr>
          <w:rFonts w:hint="eastAsia" w:ascii="仿宋_GB2312" w:hAnsi="仿宋"/>
          <w:szCs w:val="32"/>
        </w:rPr>
        <w:t>9.完成市委和市政府交办的其他任务。</w:t>
      </w:r>
    </w:p>
    <w:p>
      <w:pPr>
        <w:pStyle w:val="4"/>
        <w:spacing w:line="576" w:lineRule="exact"/>
        <w:ind w:firstLine="640" w:firstLineChars="200"/>
        <w:rPr>
          <w:rStyle w:val="33"/>
          <w:rFonts w:ascii="黑体" w:hAnsi="黑体" w:eastAsia="黑体"/>
          <w:b w:val="0"/>
          <w:bCs w:val="0"/>
        </w:rPr>
      </w:pPr>
      <w:bookmarkStart w:id="20" w:name="_Toc146616479"/>
      <w:bookmarkStart w:id="21" w:name="_Toc15377200"/>
      <w:bookmarkStart w:id="22" w:name="_Toc15396601"/>
      <w:r>
        <w:rPr>
          <w:rFonts w:hint="eastAsia" w:ascii="黑体" w:hAnsi="黑体" w:eastAsia="黑体"/>
          <w:b w:val="0"/>
        </w:rPr>
        <w:t>二、机</w:t>
      </w:r>
      <w:r>
        <w:rPr>
          <w:rStyle w:val="33"/>
          <w:rFonts w:hint="eastAsia" w:ascii="黑体" w:hAnsi="黑体" w:eastAsia="黑体"/>
          <w:b w:val="0"/>
          <w:bCs w:val="0"/>
        </w:rPr>
        <w:t>构设置</w:t>
      </w:r>
      <w:bookmarkEnd w:id="20"/>
      <w:bookmarkEnd w:id="21"/>
      <w:bookmarkEnd w:id="22"/>
    </w:p>
    <w:p>
      <w:pPr>
        <w:spacing w:line="576" w:lineRule="exact"/>
        <w:ind w:firstLine="640" w:firstLineChars="200"/>
        <w:rPr>
          <w:rFonts w:ascii="仿宋_GB2312" w:hAnsi="仿宋"/>
          <w:szCs w:val="32"/>
        </w:rPr>
      </w:pPr>
      <w:r>
        <w:rPr>
          <w:rFonts w:hint="eastAsia" w:ascii="仿宋_GB2312" w:hAnsi="仿宋"/>
          <w:szCs w:val="32"/>
        </w:rPr>
        <w:t>市国资委下属二级预算单位2个，其中行政单位1个，参照公务员法管理的事业单位</w:t>
      </w:r>
      <w:r>
        <w:rPr>
          <w:rFonts w:hint="eastAsia" w:ascii="仿宋_GB2312" w:hAnsi="仿宋"/>
          <w:bCs/>
          <w:szCs w:val="32"/>
        </w:rPr>
        <w:t>0</w:t>
      </w:r>
      <w:r>
        <w:rPr>
          <w:rFonts w:hint="eastAsia" w:ascii="仿宋_GB2312" w:hAnsi="仿宋"/>
          <w:szCs w:val="32"/>
        </w:rPr>
        <w:t>个，其他事业单位1个。</w:t>
      </w:r>
    </w:p>
    <w:p>
      <w:pPr>
        <w:pStyle w:val="2"/>
        <w:adjustRightInd w:val="0"/>
        <w:snapToGrid w:val="0"/>
        <w:spacing w:before="93" w:line="576" w:lineRule="exact"/>
        <w:ind w:firstLine="672" w:firstLineChars="210"/>
        <w:rPr>
          <w:rFonts w:hAnsi="仿宋"/>
          <w:sz w:val="32"/>
          <w:szCs w:val="32"/>
        </w:rPr>
      </w:pPr>
      <w:r>
        <w:rPr>
          <w:rFonts w:hint="eastAsia" w:hAnsi="仿宋"/>
          <w:sz w:val="32"/>
          <w:szCs w:val="32"/>
        </w:rPr>
        <w:t>纳入市国资委202</w:t>
      </w:r>
      <w:r>
        <w:rPr>
          <w:rFonts w:hAnsi="仿宋"/>
          <w:sz w:val="32"/>
          <w:szCs w:val="32"/>
        </w:rPr>
        <w:t>3</w:t>
      </w:r>
      <w:r>
        <w:rPr>
          <w:rFonts w:hint="eastAsia" w:hAnsi="仿宋"/>
          <w:sz w:val="32"/>
          <w:szCs w:val="32"/>
        </w:rPr>
        <w:t>年度部门决算编制范围的二级预算单位包括：</w:t>
      </w:r>
    </w:p>
    <w:p>
      <w:pPr>
        <w:pStyle w:val="2"/>
        <w:numPr>
          <w:ilvl w:val="0"/>
          <w:numId w:val="1"/>
        </w:numPr>
        <w:adjustRightInd w:val="0"/>
        <w:snapToGrid w:val="0"/>
        <w:spacing w:before="93" w:line="576" w:lineRule="exact"/>
        <w:outlineLvl w:val="2"/>
        <w:rPr>
          <w:rFonts w:hAnsi="仿宋"/>
          <w:sz w:val="32"/>
          <w:szCs w:val="32"/>
        </w:rPr>
      </w:pPr>
      <w:bookmarkStart w:id="23" w:name="_Toc146616481"/>
      <w:r>
        <w:rPr>
          <w:rFonts w:hint="eastAsia" w:hAnsi="仿宋"/>
          <w:sz w:val="32"/>
          <w:szCs w:val="32"/>
        </w:rPr>
        <w:t>广元市政府国有资产监督管理委员（本级）</w:t>
      </w:r>
      <w:bookmarkEnd w:id="23"/>
    </w:p>
    <w:p>
      <w:pPr>
        <w:spacing w:line="576" w:lineRule="exact"/>
        <w:ind w:firstLine="640" w:firstLineChars="200"/>
        <w:rPr>
          <w:rFonts w:ascii="仿宋_GB2312" w:hAnsi="仿宋"/>
          <w:szCs w:val="32"/>
        </w:rPr>
      </w:pPr>
      <w:r>
        <w:rPr>
          <w:rFonts w:hint="eastAsia" w:ascii="仿宋_GB2312" w:hAnsi="仿宋"/>
          <w:szCs w:val="32"/>
        </w:rPr>
        <w:t>2.</w:t>
      </w:r>
      <w:r>
        <w:rPr>
          <w:rFonts w:ascii="仿宋_GB2312" w:hAnsi="仿宋"/>
          <w:szCs w:val="32"/>
        </w:rPr>
        <w:t xml:space="preserve"> </w:t>
      </w:r>
      <w:r>
        <w:rPr>
          <w:rFonts w:hint="eastAsia" w:hAnsi="仿宋"/>
          <w:szCs w:val="32"/>
        </w:rPr>
        <w:t>广元市国资国企服务中心</w:t>
      </w:r>
    </w:p>
    <w:p>
      <w:pPr>
        <w:widowControl/>
        <w:spacing w:line="576" w:lineRule="exact"/>
        <w:jc w:val="left"/>
        <w:rPr>
          <w:rFonts w:ascii="仿宋" w:hAnsi="仿宋" w:eastAsia="仿宋"/>
          <w:kern w:val="0"/>
          <w:szCs w:val="32"/>
        </w:rPr>
      </w:pPr>
      <w:r>
        <w:rPr>
          <w:rFonts w:ascii="仿宋" w:hAnsi="仿宋" w:eastAsia="仿宋"/>
          <w:szCs w:val="32"/>
        </w:rPr>
        <w:br w:type="page"/>
      </w:r>
    </w:p>
    <w:p>
      <w:pPr>
        <w:pStyle w:val="3"/>
        <w:spacing w:line="576" w:lineRule="exact"/>
        <w:ind w:right="440"/>
        <w:jc w:val="center"/>
        <w:rPr>
          <w:rStyle w:val="32"/>
          <w:rFonts w:ascii="黑体" w:hAnsi="黑体" w:eastAsia="黑体"/>
          <w:b w:val="0"/>
          <w:bCs/>
        </w:rPr>
      </w:pPr>
      <w:bookmarkStart w:id="24" w:name="_Toc15396602"/>
      <w:bookmarkStart w:id="25" w:name="_Toc15377204"/>
      <w:bookmarkStart w:id="26" w:name="_Toc146616482"/>
      <w:r>
        <w:rPr>
          <w:rFonts w:hint="eastAsia" w:ascii="黑体" w:hAnsi="黑体" w:eastAsia="黑体"/>
          <w:b w:val="0"/>
        </w:rPr>
        <w:t>第二部分 202</w:t>
      </w:r>
      <w:r>
        <w:rPr>
          <w:rFonts w:ascii="黑体" w:hAnsi="黑体" w:eastAsia="黑体"/>
          <w:b w:val="0"/>
        </w:rPr>
        <w:t>3</w:t>
      </w:r>
      <w:r>
        <w:rPr>
          <w:rFonts w:hint="eastAsia" w:ascii="黑体" w:hAnsi="黑体" w:eastAsia="黑体"/>
          <w:b w:val="0"/>
        </w:rPr>
        <w:t>年度</w:t>
      </w:r>
      <w:r>
        <w:rPr>
          <w:rStyle w:val="32"/>
          <w:rFonts w:hint="eastAsia" w:ascii="黑体" w:hAnsi="黑体" w:eastAsia="黑体"/>
          <w:b w:val="0"/>
          <w:bCs/>
        </w:rPr>
        <w:t>部门决算情况说明</w:t>
      </w:r>
      <w:bookmarkEnd w:id="24"/>
      <w:bookmarkEnd w:id="25"/>
      <w:bookmarkEnd w:id="26"/>
    </w:p>
    <w:p>
      <w:pPr>
        <w:spacing w:line="576" w:lineRule="exact"/>
      </w:pPr>
    </w:p>
    <w:p>
      <w:pPr>
        <w:pStyle w:val="31"/>
        <w:numPr>
          <w:ilvl w:val="0"/>
          <w:numId w:val="2"/>
        </w:numPr>
        <w:spacing w:line="576" w:lineRule="exact"/>
        <w:ind w:firstLineChars="0"/>
        <w:outlineLvl w:val="1"/>
        <w:rPr>
          <w:rStyle w:val="33"/>
          <w:rFonts w:ascii="黑体" w:hAnsi="黑体" w:eastAsia="黑体"/>
          <w:b w:val="0"/>
        </w:rPr>
      </w:pPr>
      <w:bookmarkStart w:id="27" w:name="_Toc146616483"/>
      <w:bookmarkStart w:id="28" w:name="_Toc15377205"/>
      <w:bookmarkStart w:id="29" w:name="_Toc15396603"/>
      <w:r>
        <w:rPr>
          <w:rFonts w:hint="eastAsia" w:ascii="黑体" w:hAnsi="黑体" w:eastAsia="黑体"/>
          <w:szCs w:val="32"/>
        </w:rPr>
        <w:t>收</w:t>
      </w:r>
      <w:r>
        <w:rPr>
          <w:rStyle w:val="33"/>
          <w:rFonts w:hint="eastAsia" w:ascii="黑体" w:hAnsi="黑体" w:eastAsia="黑体"/>
          <w:b w:val="0"/>
        </w:rPr>
        <w:t>入支出决算总体情况说明</w:t>
      </w:r>
      <w:bookmarkEnd w:id="27"/>
      <w:bookmarkEnd w:id="28"/>
      <w:bookmarkEnd w:id="29"/>
    </w:p>
    <w:p>
      <w:pPr>
        <w:spacing w:line="576" w:lineRule="exact"/>
        <w:ind w:firstLine="640" w:firstLineChars="200"/>
        <w:rPr>
          <w:rFonts w:ascii="仿宋" w:hAnsi="仿宋" w:eastAsia="仿宋"/>
          <w:szCs w:val="32"/>
        </w:rPr>
      </w:pPr>
      <w:r>
        <w:rPr>
          <w:rFonts w:hint="eastAsia"/>
        </w:rPr>
        <w:drawing>
          <wp:anchor distT="0" distB="0" distL="114300" distR="114300" simplePos="0" relativeHeight="251665408" behindDoc="0" locked="0" layoutInCell="1" allowOverlap="1">
            <wp:simplePos x="0" y="0"/>
            <wp:positionH relativeFrom="margin">
              <wp:align>left</wp:align>
            </wp:positionH>
            <wp:positionV relativeFrom="paragraph">
              <wp:posOffset>1264920</wp:posOffset>
            </wp:positionV>
            <wp:extent cx="5318125" cy="2505710"/>
            <wp:effectExtent l="0" t="0" r="15875" b="952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szCs w:val="32"/>
        </w:rPr>
        <w:t>202</w:t>
      </w:r>
      <w:r>
        <w:rPr>
          <w:rFonts w:ascii="仿宋" w:hAnsi="仿宋" w:eastAsia="仿宋"/>
          <w:szCs w:val="32"/>
        </w:rPr>
        <w:t>3</w:t>
      </w:r>
      <w:r>
        <w:rPr>
          <w:rFonts w:hint="eastAsia" w:ascii="仿宋" w:hAnsi="仿宋" w:eastAsia="仿宋"/>
          <w:szCs w:val="32"/>
        </w:rPr>
        <w:t>年度收、支总计</w:t>
      </w:r>
      <w:r>
        <w:rPr>
          <w:rFonts w:ascii="仿宋" w:hAnsi="仿宋" w:eastAsia="仿宋"/>
          <w:szCs w:val="32"/>
        </w:rPr>
        <w:t>23250.37</w:t>
      </w:r>
      <w:r>
        <w:rPr>
          <w:rFonts w:hint="eastAsia" w:ascii="仿宋" w:hAnsi="仿宋" w:eastAsia="仿宋"/>
          <w:szCs w:val="32"/>
        </w:rPr>
        <w:t>万元。与202</w:t>
      </w:r>
      <w:r>
        <w:rPr>
          <w:rFonts w:ascii="仿宋" w:hAnsi="仿宋" w:eastAsia="仿宋"/>
          <w:szCs w:val="32"/>
        </w:rPr>
        <w:t>2</w:t>
      </w:r>
      <w:r>
        <w:rPr>
          <w:rFonts w:hint="eastAsia" w:ascii="仿宋" w:hAnsi="仿宋" w:eastAsia="仿宋"/>
          <w:szCs w:val="32"/>
        </w:rPr>
        <w:t>年相比，收、支总计各减少</w:t>
      </w:r>
      <w:r>
        <w:rPr>
          <w:rFonts w:ascii="仿宋" w:hAnsi="仿宋" w:eastAsia="仿宋"/>
          <w:szCs w:val="32"/>
        </w:rPr>
        <w:t>15266.33</w:t>
      </w:r>
      <w:r>
        <w:rPr>
          <w:rFonts w:hint="eastAsia" w:ascii="仿宋" w:hAnsi="仿宋" w:eastAsia="仿宋"/>
          <w:szCs w:val="32"/>
        </w:rPr>
        <w:t>万元，下降</w:t>
      </w:r>
      <w:r>
        <w:rPr>
          <w:rFonts w:ascii="仿宋" w:hAnsi="仿宋" w:eastAsia="仿宋"/>
          <w:szCs w:val="32"/>
        </w:rPr>
        <w:t>39.6%</w:t>
      </w:r>
      <w:r>
        <w:rPr>
          <w:rFonts w:hint="eastAsia" w:ascii="仿宋" w:hAnsi="仿宋" w:eastAsia="仿宋"/>
          <w:szCs w:val="32"/>
        </w:rPr>
        <w:t>。主要变动原因是企业转拨款项目经费收支减少。</w:t>
      </w:r>
    </w:p>
    <w:p>
      <w:pPr>
        <w:spacing w:line="576" w:lineRule="exact"/>
        <w:jc w:val="center"/>
        <w:rPr>
          <w:rFonts w:ascii="仿宋" w:hAnsi="仿宋" w:eastAsia="仿宋"/>
          <w:szCs w:val="32"/>
        </w:rPr>
      </w:pPr>
      <w:r>
        <w:rPr>
          <w:rFonts w:hint="eastAsia" w:ascii="仿宋" w:hAnsi="仿宋" w:eastAsia="仿宋"/>
          <w:szCs w:val="32"/>
        </w:rPr>
        <w:t>（图</w:t>
      </w:r>
      <w:r>
        <w:rPr>
          <w:rFonts w:ascii="仿宋" w:hAnsi="仿宋" w:eastAsia="仿宋"/>
          <w:szCs w:val="32"/>
        </w:rPr>
        <w:t>1</w:t>
      </w:r>
      <w:r>
        <w:rPr>
          <w:rFonts w:hint="eastAsia" w:ascii="仿宋" w:hAnsi="仿宋" w:eastAsia="仿宋"/>
          <w:szCs w:val="32"/>
        </w:rPr>
        <w:t>：收、支决算总计变动情况图）</w:t>
      </w:r>
    </w:p>
    <w:p>
      <w:pPr>
        <w:pStyle w:val="31"/>
        <w:numPr>
          <w:ilvl w:val="0"/>
          <w:numId w:val="2"/>
        </w:numPr>
        <w:spacing w:line="576" w:lineRule="exact"/>
        <w:ind w:firstLineChars="0"/>
        <w:outlineLvl w:val="1"/>
        <w:rPr>
          <w:rStyle w:val="33"/>
          <w:rFonts w:ascii="黑体" w:hAnsi="黑体" w:eastAsia="黑体"/>
          <w:b w:val="0"/>
        </w:rPr>
      </w:pPr>
      <w:bookmarkStart w:id="30" w:name="_Toc15377206"/>
      <w:bookmarkStart w:id="31" w:name="_Toc15396604"/>
      <w:bookmarkStart w:id="32" w:name="_Toc146616484"/>
      <w:r>
        <w:rPr>
          <w:rFonts w:hint="eastAsia" w:ascii="黑体" w:hAnsi="黑体" w:eastAsia="黑体"/>
          <w:szCs w:val="32"/>
        </w:rPr>
        <w:t>收</w:t>
      </w:r>
      <w:r>
        <w:rPr>
          <w:rStyle w:val="33"/>
          <w:rFonts w:hint="eastAsia" w:ascii="黑体" w:hAnsi="黑体" w:eastAsia="黑体"/>
          <w:b w:val="0"/>
        </w:rPr>
        <w:t>入决算情况说明</w:t>
      </w:r>
      <w:bookmarkEnd w:id="30"/>
      <w:bookmarkEnd w:id="31"/>
      <w:bookmarkEnd w:id="32"/>
    </w:p>
    <w:p>
      <w:pPr>
        <w:ind w:firstLine="640" w:firstLineChars="200"/>
        <w:rPr>
          <w:rFonts w:ascii="仿宋_GB2312"/>
          <w:szCs w:val="32"/>
        </w:rPr>
      </w:pPr>
      <w:r>
        <w:rPr>
          <w:rFonts w:hint="eastAsia" w:ascii="仿宋_GB2312"/>
          <w:szCs w:val="32"/>
        </w:rPr>
        <w:t>202</w:t>
      </w:r>
      <w:r>
        <w:rPr>
          <w:rFonts w:ascii="仿宋_GB2312"/>
          <w:szCs w:val="32"/>
        </w:rPr>
        <w:t>3</w:t>
      </w:r>
      <w:r>
        <w:rPr>
          <w:rFonts w:hint="eastAsia" w:ascii="仿宋_GB2312"/>
          <w:szCs w:val="32"/>
        </w:rPr>
        <w:t>年本年收入合计</w:t>
      </w:r>
      <w:r>
        <w:rPr>
          <w:rFonts w:ascii="仿宋_GB2312"/>
          <w:szCs w:val="32"/>
        </w:rPr>
        <w:t>23213.59</w:t>
      </w:r>
      <w:r>
        <w:rPr>
          <w:rFonts w:hint="eastAsia" w:ascii="仿宋_GB2312"/>
          <w:szCs w:val="32"/>
        </w:rPr>
        <w:t>万元，其中：一般公共预算财政拨款收入</w:t>
      </w:r>
      <w:r>
        <w:rPr>
          <w:rFonts w:ascii="仿宋_GB2312"/>
          <w:szCs w:val="32"/>
        </w:rPr>
        <w:t>3576.97</w:t>
      </w:r>
      <w:r>
        <w:rPr>
          <w:rFonts w:hint="eastAsia" w:ascii="仿宋_GB2312"/>
          <w:szCs w:val="32"/>
        </w:rPr>
        <w:t>万元，占</w:t>
      </w:r>
      <w:r>
        <w:rPr>
          <w:rFonts w:ascii="仿宋_GB2312"/>
          <w:szCs w:val="32"/>
        </w:rPr>
        <w:t>15.4</w:t>
      </w:r>
      <w:r>
        <w:rPr>
          <w:rFonts w:hint="eastAsia" w:ascii="仿宋_GB2312"/>
          <w:szCs w:val="32"/>
        </w:rPr>
        <w:t>%；政府性基金预算财政拨款收入</w:t>
      </w:r>
      <w:r>
        <w:rPr>
          <w:rFonts w:ascii="仿宋_GB2312"/>
          <w:szCs w:val="32"/>
        </w:rPr>
        <w:t>19636.58</w:t>
      </w:r>
      <w:r>
        <w:rPr>
          <w:rFonts w:hint="eastAsia" w:ascii="仿宋_GB2312"/>
          <w:szCs w:val="32"/>
        </w:rPr>
        <w:t>万元，占</w:t>
      </w:r>
      <w:r>
        <w:rPr>
          <w:rFonts w:ascii="仿宋_GB2312"/>
          <w:szCs w:val="32"/>
        </w:rPr>
        <w:t>84.6</w:t>
      </w:r>
      <w:r>
        <w:rPr>
          <w:rFonts w:hint="eastAsia" w:ascii="仿宋_GB2312"/>
          <w:szCs w:val="32"/>
        </w:rPr>
        <w:t>%；其他收入0.0</w:t>
      </w:r>
      <w:r>
        <w:rPr>
          <w:rFonts w:ascii="仿宋_GB2312"/>
          <w:szCs w:val="32"/>
        </w:rPr>
        <w:t>4</w:t>
      </w:r>
      <w:r>
        <w:rPr>
          <w:rFonts w:hint="eastAsia" w:ascii="仿宋_GB2312"/>
          <w:szCs w:val="32"/>
        </w:rPr>
        <w:t>万元，占0%。</w:t>
      </w:r>
    </w:p>
    <w:p>
      <w:pPr>
        <w:rPr>
          <w:rFonts w:ascii="仿宋_GB2312"/>
          <w:szCs w:val="32"/>
        </w:rPr>
      </w:pPr>
    </w:p>
    <w:p>
      <w:pPr>
        <w:rPr>
          <w:rFonts w:ascii="仿宋_GB2312"/>
          <w:szCs w:val="32"/>
        </w:rPr>
      </w:pPr>
    </w:p>
    <w:p>
      <w:pPr>
        <w:jc w:val="center"/>
        <w:rPr>
          <w:rFonts w:ascii="仿宋_GB2312"/>
          <w:szCs w:val="32"/>
        </w:rPr>
      </w:pPr>
      <w:r>
        <w:rPr>
          <w:rFonts w:hint="eastAsia" w:ascii="仿宋_GB2312"/>
          <w:szCs w:val="32"/>
        </w:rPr>
        <w:drawing>
          <wp:anchor distT="0" distB="0" distL="114300" distR="114300" simplePos="0" relativeHeight="251660288" behindDoc="0" locked="0" layoutInCell="1" allowOverlap="1">
            <wp:simplePos x="0" y="0"/>
            <wp:positionH relativeFrom="column">
              <wp:posOffset>34290</wp:posOffset>
            </wp:positionH>
            <wp:positionV relativeFrom="paragraph">
              <wp:posOffset>30480</wp:posOffset>
            </wp:positionV>
            <wp:extent cx="5274310" cy="3076575"/>
            <wp:effectExtent l="0" t="0" r="2540" b="9525"/>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_GB2312"/>
          <w:szCs w:val="32"/>
        </w:rPr>
        <w:t>（图2：收入决算结构图）</w:t>
      </w:r>
    </w:p>
    <w:p>
      <w:pPr>
        <w:pStyle w:val="31"/>
        <w:numPr>
          <w:ilvl w:val="0"/>
          <w:numId w:val="2"/>
        </w:numPr>
        <w:spacing w:line="576" w:lineRule="exact"/>
        <w:ind w:firstLineChars="0"/>
        <w:outlineLvl w:val="1"/>
        <w:rPr>
          <w:rStyle w:val="33"/>
          <w:rFonts w:ascii="黑体" w:hAnsi="黑体" w:eastAsia="黑体"/>
          <w:b w:val="0"/>
        </w:rPr>
      </w:pPr>
      <w:bookmarkStart w:id="33" w:name="_Toc15377207"/>
      <w:bookmarkStart w:id="34" w:name="_Toc15396605"/>
      <w:bookmarkStart w:id="35" w:name="_Toc146616485"/>
      <w:r>
        <w:rPr>
          <w:rFonts w:hint="eastAsia" w:ascii="黑体" w:hAnsi="黑体" w:eastAsia="黑体"/>
          <w:szCs w:val="32"/>
        </w:rPr>
        <w:t>支</w:t>
      </w:r>
      <w:r>
        <w:rPr>
          <w:rStyle w:val="33"/>
          <w:rFonts w:hint="eastAsia" w:ascii="黑体" w:hAnsi="黑体" w:eastAsia="黑体"/>
          <w:b w:val="0"/>
        </w:rPr>
        <w:t>出决算情况说明</w:t>
      </w:r>
      <w:bookmarkEnd w:id="33"/>
      <w:bookmarkEnd w:id="34"/>
      <w:bookmarkEnd w:id="35"/>
    </w:p>
    <w:p>
      <w:pPr>
        <w:spacing w:line="576" w:lineRule="exact"/>
        <w:ind w:firstLine="640" w:firstLineChars="200"/>
        <w:outlineLvl w:val="1"/>
        <w:rPr>
          <w:rFonts w:ascii="仿宋" w:hAnsi="仿宋" w:eastAsia="仿宋"/>
          <w:szCs w:val="32"/>
        </w:rPr>
      </w:pPr>
      <w:bookmarkStart w:id="36" w:name="_Toc146616486"/>
      <w:r>
        <w:rPr>
          <w:rFonts w:hint="eastAsia"/>
        </w:rPr>
        <w:drawing>
          <wp:anchor distT="0" distB="0" distL="114300" distR="114300" simplePos="0" relativeHeight="251664384" behindDoc="0" locked="0" layoutInCell="1" allowOverlap="1">
            <wp:simplePos x="0" y="0"/>
            <wp:positionH relativeFrom="margin">
              <wp:align>right</wp:align>
            </wp:positionH>
            <wp:positionV relativeFrom="paragraph">
              <wp:posOffset>807720</wp:posOffset>
            </wp:positionV>
            <wp:extent cx="5274310" cy="3076575"/>
            <wp:effectExtent l="0" t="0" r="2540" b="952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ascii="仿宋" w:hAnsi="仿宋" w:eastAsia="仿宋"/>
          <w:szCs w:val="32"/>
        </w:rPr>
        <w:t>20</w:t>
      </w:r>
      <w:r>
        <w:rPr>
          <w:rFonts w:hint="eastAsia" w:ascii="仿宋" w:hAnsi="仿宋" w:eastAsia="仿宋"/>
          <w:szCs w:val="32"/>
        </w:rPr>
        <w:t>2</w:t>
      </w:r>
      <w:r>
        <w:rPr>
          <w:rFonts w:ascii="仿宋" w:hAnsi="仿宋" w:eastAsia="仿宋"/>
          <w:szCs w:val="32"/>
        </w:rPr>
        <w:t>3</w:t>
      </w:r>
      <w:r>
        <w:rPr>
          <w:rFonts w:hint="eastAsia" w:ascii="仿宋" w:hAnsi="仿宋" w:eastAsia="仿宋"/>
          <w:szCs w:val="32"/>
        </w:rPr>
        <w:t>年本年支出合计</w:t>
      </w:r>
      <w:r>
        <w:rPr>
          <w:rFonts w:ascii="仿宋" w:hAnsi="仿宋" w:eastAsia="仿宋"/>
          <w:szCs w:val="32"/>
        </w:rPr>
        <w:t>23237.19</w:t>
      </w:r>
      <w:r>
        <w:rPr>
          <w:rFonts w:hint="eastAsia" w:ascii="仿宋" w:hAnsi="仿宋" w:eastAsia="仿宋"/>
          <w:szCs w:val="32"/>
        </w:rPr>
        <w:t>万元，其中：基本支出</w:t>
      </w:r>
      <w:r>
        <w:rPr>
          <w:rFonts w:ascii="仿宋" w:hAnsi="仿宋" w:eastAsia="仿宋"/>
          <w:szCs w:val="32"/>
        </w:rPr>
        <w:t>1208.25</w:t>
      </w:r>
      <w:r>
        <w:rPr>
          <w:rFonts w:hint="eastAsia" w:ascii="仿宋" w:hAnsi="仿宋" w:eastAsia="仿宋"/>
          <w:szCs w:val="32"/>
        </w:rPr>
        <w:t>万元，占</w:t>
      </w:r>
      <w:r>
        <w:rPr>
          <w:rFonts w:ascii="仿宋" w:hAnsi="仿宋" w:eastAsia="仿宋"/>
          <w:szCs w:val="32"/>
        </w:rPr>
        <w:t>5.2%</w:t>
      </w:r>
      <w:r>
        <w:rPr>
          <w:rFonts w:hint="eastAsia" w:ascii="仿宋" w:hAnsi="仿宋" w:eastAsia="仿宋"/>
          <w:szCs w:val="32"/>
        </w:rPr>
        <w:t>；项目支出</w:t>
      </w:r>
      <w:r>
        <w:rPr>
          <w:rFonts w:ascii="仿宋" w:hAnsi="仿宋" w:eastAsia="仿宋"/>
          <w:szCs w:val="32"/>
        </w:rPr>
        <w:t>22028.94</w:t>
      </w:r>
      <w:r>
        <w:rPr>
          <w:rFonts w:hint="eastAsia" w:ascii="仿宋" w:hAnsi="仿宋" w:eastAsia="仿宋"/>
          <w:szCs w:val="32"/>
        </w:rPr>
        <w:t>万元，占</w:t>
      </w:r>
      <w:r>
        <w:rPr>
          <w:rFonts w:ascii="仿宋" w:hAnsi="仿宋" w:eastAsia="仿宋"/>
          <w:szCs w:val="32"/>
        </w:rPr>
        <w:t>94.8%</w:t>
      </w:r>
      <w:r>
        <w:rPr>
          <w:rFonts w:hint="eastAsia" w:ascii="仿宋" w:hAnsi="仿宋" w:eastAsia="仿宋"/>
          <w:szCs w:val="32"/>
        </w:rPr>
        <w:t>。</w:t>
      </w:r>
      <w:bookmarkEnd w:id="36"/>
    </w:p>
    <w:p>
      <w:pPr>
        <w:spacing w:line="576" w:lineRule="exact"/>
        <w:ind w:firstLine="640" w:firstLineChars="200"/>
        <w:jc w:val="center"/>
        <w:rPr>
          <w:rFonts w:ascii="仿宋" w:hAnsi="仿宋" w:eastAsia="仿宋"/>
          <w:szCs w:val="32"/>
        </w:rPr>
      </w:pPr>
      <w:r>
        <w:rPr>
          <w:rFonts w:hint="eastAsia" w:ascii="仿宋" w:hAnsi="仿宋" w:eastAsia="仿宋"/>
          <w:szCs w:val="32"/>
        </w:rPr>
        <w:t>（图3：支出决算结构图）</w:t>
      </w:r>
    </w:p>
    <w:p>
      <w:pPr>
        <w:spacing w:line="576" w:lineRule="exact"/>
        <w:ind w:firstLine="640" w:firstLineChars="200"/>
        <w:outlineLvl w:val="1"/>
        <w:rPr>
          <w:rStyle w:val="33"/>
          <w:rFonts w:ascii="黑体" w:hAnsi="黑体" w:eastAsia="黑体"/>
          <w:b w:val="0"/>
        </w:rPr>
      </w:pPr>
      <w:bookmarkStart w:id="37" w:name="_Toc15396606"/>
      <w:bookmarkStart w:id="38" w:name="_Toc15377208"/>
      <w:bookmarkStart w:id="39" w:name="_Toc146616487"/>
      <w:r>
        <w:rPr>
          <w:rFonts w:hint="eastAsia" w:ascii="黑体" w:hAnsi="黑体" w:eastAsia="黑体"/>
          <w:szCs w:val="32"/>
        </w:rPr>
        <w:t>四、财</w:t>
      </w:r>
      <w:r>
        <w:rPr>
          <w:rStyle w:val="33"/>
          <w:rFonts w:hint="eastAsia" w:ascii="黑体" w:hAnsi="黑体" w:eastAsia="黑体"/>
          <w:b w:val="0"/>
        </w:rPr>
        <w:t>政拨款收入支出决算总体情况说明</w:t>
      </w:r>
      <w:bookmarkEnd w:id="37"/>
      <w:bookmarkEnd w:id="38"/>
      <w:bookmarkEnd w:id="39"/>
    </w:p>
    <w:p>
      <w:pPr>
        <w:spacing w:line="576" w:lineRule="exact"/>
        <w:ind w:firstLine="640"/>
        <w:rPr>
          <w:rFonts w:ascii="仿宋_GB2312" w:hAnsi="仿宋"/>
          <w:szCs w:val="32"/>
        </w:rPr>
      </w:pPr>
      <w:r>
        <w:rPr>
          <w:rFonts w:ascii="仿宋" w:hAnsi="仿宋" w:eastAsia="仿宋"/>
          <w:szCs w:val="32"/>
        </w:rPr>
        <w:drawing>
          <wp:anchor distT="0" distB="0" distL="114300" distR="114300" simplePos="0" relativeHeight="251661312" behindDoc="0" locked="0" layoutInCell="1" allowOverlap="1">
            <wp:simplePos x="0" y="0"/>
            <wp:positionH relativeFrom="margin">
              <wp:posOffset>432435</wp:posOffset>
            </wp:positionH>
            <wp:positionV relativeFrom="paragraph">
              <wp:posOffset>1159510</wp:posOffset>
            </wp:positionV>
            <wp:extent cx="4421505" cy="2456180"/>
            <wp:effectExtent l="0" t="0" r="17145" b="127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hAnsi="仿宋"/>
          <w:szCs w:val="32"/>
        </w:rPr>
        <w:t>202</w:t>
      </w:r>
      <w:r>
        <w:rPr>
          <w:rFonts w:ascii="仿宋_GB2312" w:hAnsi="仿宋"/>
          <w:szCs w:val="32"/>
        </w:rPr>
        <w:t>3</w:t>
      </w:r>
      <w:r>
        <w:rPr>
          <w:rFonts w:hint="eastAsia" w:ascii="仿宋_GB2312" w:hAnsi="仿宋"/>
          <w:szCs w:val="32"/>
        </w:rPr>
        <w:t>年财政拨款收、支总计</w:t>
      </w:r>
      <w:r>
        <w:rPr>
          <w:rFonts w:ascii="仿宋_GB2312" w:hAnsi="仿宋"/>
          <w:szCs w:val="32"/>
        </w:rPr>
        <w:t>23213.55</w:t>
      </w:r>
      <w:r>
        <w:rPr>
          <w:rFonts w:hint="eastAsia" w:ascii="仿宋_GB2312" w:hAnsi="仿宋"/>
          <w:szCs w:val="32"/>
        </w:rPr>
        <w:t>万元。与202</w:t>
      </w:r>
      <w:r>
        <w:rPr>
          <w:rFonts w:ascii="仿宋_GB2312" w:hAnsi="仿宋"/>
          <w:szCs w:val="32"/>
        </w:rPr>
        <w:t>2</w:t>
      </w:r>
      <w:r>
        <w:rPr>
          <w:rFonts w:hint="eastAsia" w:ascii="仿宋_GB2312" w:hAnsi="仿宋"/>
          <w:szCs w:val="32"/>
        </w:rPr>
        <w:t>年相比，财政拨款收、支总计各减少</w:t>
      </w:r>
      <w:r>
        <w:rPr>
          <w:rFonts w:ascii="仿宋_GB2312" w:hAnsi="仿宋"/>
          <w:szCs w:val="32"/>
        </w:rPr>
        <w:t>15266.36</w:t>
      </w:r>
      <w:r>
        <w:rPr>
          <w:rFonts w:hint="eastAsia" w:ascii="仿宋_GB2312" w:hAnsi="仿宋"/>
          <w:szCs w:val="32"/>
        </w:rPr>
        <w:t>万元，下降</w:t>
      </w:r>
      <w:r>
        <w:rPr>
          <w:rFonts w:ascii="仿宋_GB2312" w:hAnsi="仿宋"/>
          <w:szCs w:val="32"/>
        </w:rPr>
        <w:t>39.6</w:t>
      </w:r>
      <w:r>
        <w:rPr>
          <w:rFonts w:hint="eastAsia" w:ascii="仿宋_GB2312" w:hAnsi="仿宋"/>
          <w:szCs w:val="32"/>
        </w:rPr>
        <w:t>%。主要变动原因是企业转拨款项目收支减少。</w:t>
      </w:r>
    </w:p>
    <w:p>
      <w:pPr>
        <w:spacing w:line="576" w:lineRule="exact"/>
        <w:jc w:val="center"/>
        <w:rPr>
          <w:rFonts w:ascii="仿宋_GB2312" w:hAnsi="仿宋"/>
          <w:szCs w:val="32"/>
        </w:rPr>
      </w:pPr>
      <w:r>
        <w:rPr>
          <w:rFonts w:hint="eastAsia" w:ascii="仿宋_GB2312" w:hAnsi="仿宋"/>
          <w:szCs w:val="32"/>
        </w:rPr>
        <w:t>（图4：财政拨款收、支决算总计变动情况）</w:t>
      </w:r>
    </w:p>
    <w:p>
      <w:pPr>
        <w:spacing w:line="576" w:lineRule="exact"/>
        <w:ind w:firstLine="640" w:firstLineChars="200"/>
        <w:outlineLvl w:val="1"/>
        <w:rPr>
          <w:rStyle w:val="33"/>
          <w:rFonts w:ascii="黑体" w:hAnsi="黑体" w:eastAsia="黑体"/>
          <w:b w:val="0"/>
        </w:rPr>
      </w:pPr>
      <w:bookmarkStart w:id="40" w:name="_Toc15377209"/>
      <w:bookmarkStart w:id="41" w:name="_Toc146616488"/>
      <w:bookmarkStart w:id="42" w:name="_Toc15396607"/>
      <w:r>
        <w:rPr>
          <w:rFonts w:hint="eastAsia" w:ascii="黑体" w:hAnsi="黑体" w:eastAsia="黑体"/>
          <w:szCs w:val="32"/>
        </w:rPr>
        <w:t>五、</w:t>
      </w:r>
      <w:r>
        <w:rPr>
          <w:rFonts w:hint="eastAsia" w:ascii="黑体" w:hAnsi="黑体" w:eastAsia="黑体"/>
          <w:b/>
          <w:szCs w:val="32"/>
        </w:rPr>
        <w:t>一</w:t>
      </w:r>
      <w:r>
        <w:rPr>
          <w:rStyle w:val="33"/>
          <w:rFonts w:hint="eastAsia" w:ascii="黑体" w:hAnsi="黑体" w:eastAsia="黑体"/>
          <w:b w:val="0"/>
        </w:rPr>
        <w:t>般公共预算财政拨款支出决算情况说明</w:t>
      </w:r>
      <w:bookmarkEnd w:id="40"/>
      <w:bookmarkEnd w:id="41"/>
      <w:bookmarkEnd w:id="42"/>
    </w:p>
    <w:p>
      <w:pPr>
        <w:spacing w:line="576" w:lineRule="exact"/>
        <w:ind w:firstLine="642" w:firstLineChars="200"/>
        <w:outlineLvl w:val="2"/>
        <w:rPr>
          <w:rFonts w:ascii="仿宋_GB2312" w:hAnsi="仿宋"/>
          <w:b/>
          <w:szCs w:val="32"/>
        </w:rPr>
      </w:pPr>
      <w:bookmarkStart w:id="43" w:name="_Toc146616489"/>
      <w:bookmarkStart w:id="44" w:name="_Toc15377210"/>
      <w:r>
        <w:rPr>
          <w:rFonts w:hint="eastAsia" w:ascii="仿宋_GB2312" w:hAnsi="仿宋"/>
          <w:b/>
          <w:szCs w:val="32"/>
        </w:rPr>
        <w:t>（一）一般公共预算财政拨款支出决算总体情况</w:t>
      </w:r>
      <w:bookmarkEnd w:id="43"/>
      <w:bookmarkEnd w:id="44"/>
    </w:p>
    <w:p>
      <w:pPr>
        <w:pStyle w:val="2"/>
        <w:spacing w:before="93"/>
        <w:ind w:firstLine="640" w:firstLineChars="200"/>
        <w:rPr>
          <w:sz w:val="32"/>
          <w:szCs w:val="32"/>
        </w:rPr>
      </w:pPr>
      <w:r>
        <w:rPr>
          <w:rFonts w:hint="eastAsia" w:hAnsi="仿宋"/>
          <w:sz w:val="32"/>
          <w:szCs w:val="32"/>
        </w:rPr>
        <w:t>202</w:t>
      </w:r>
      <w:r>
        <w:rPr>
          <w:rFonts w:hAnsi="仿宋"/>
          <w:sz w:val="32"/>
          <w:szCs w:val="32"/>
        </w:rPr>
        <w:t>3</w:t>
      </w:r>
      <w:r>
        <w:rPr>
          <w:rFonts w:hint="eastAsia" w:hAnsi="仿宋"/>
          <w:sz w:val="32"/>
          <w:szCs w:val="32"/>
        </w:rPr>
        <w:t>年一般公共预算财政拨款支出</w:t>
      </w:r>
      <w:r>
        <w:rPr>
          <w:rFonts w:hAnsi="仿宋"/>
          <w:sz w:val="32"/>
          <w:szCs w:val="32"/>
        </w:rPr>
        <w:t>3600.61</w:t>
      </w:r>
      <w:r>
        <w:rPr>
          <w:rFonts w:hint="eastAsia" w:hAnsi="仿宋"/>
          <w:sz w:val="32"/>
          <w:szCs w:val="32"/>
        </w:rPr>
        <w:t>万元，占本年支出合计的</w:t>
      </w:r>
      <w:r>
        <w:rPr>
          <w:rFonts w:hAnsi="仿宋"/>
          <w:sz w:val="32"/>
          <w:szCs w:val="32"/>
        </w:rPr>
        <w:t>15.5</w:t>
      </w:r>
      <w:r>
        <w:rPr>
          <w:rFonts w:hint="eastAsia" w:hAnsi="仿宋"/>
          <w:sz w:val="32"/>
          <w:szCs w:val="32"/>
        </w:rPr>
        <w:t>%。与202</w:t>
      </w:r>
      <w:r>
        <w:rPr>
          <w:rFonts w:hAnsi="仿宋"/>
          <w:sz w:val="32"/>
          <w:szCs w:val="32"/>
        </w:rPr>
        <w:t>2</w:t>
      </w:r>
      <w:r>
        <w:rPr>
          <w:rFonts w:hint="eastAsia" w:hAnsi="仿宋"/>
          <w:sz w:val="32"/>
          <w:szCs w:val="32"/>
        </w:rPr>
        <w:t>年相比，一般公共预算财政拨款支出减少</w:t>
      </w:r>
      <w:r>
        <w:rPr>
          <w:rFonts w:hAnsi="仿宋"/>
          <w:sz w:val="32"/>
          <w:szCs w:val="32"/>
        </w:rPr>
        <w:t>439.72</w:t>
      </w:r>
      <w:r>
        <w:rPr>
          <w:rFonts w:hint="eastAsia" w:hAnsi="仿宋"/>
          <w:sz w:val="32"/>
          <w:szCs w:val="32"/>
        </w:rPr>
        <w:t>万元，下降</w:t>
      </w:r>
      <w:r>
        <w:rPr>
          <w:rFonts w:hAnsi="仿宋"/>
          <w:sz w:val="32"/>
          <w:szCs w:val="32"/>
        </w:rPr>
        <w:t>10.9</w:t>
      </w:r>
      <w:r>
        <w:rPr>
          <w:rFonts w:hint="eastAsia" w:hAnsi="仿宋"/>
          <w:sz w:val="32"/>
          <w:szCs w:val="32"/>
        </w:rPr>
        <w:t>%。主要变动原因是项目支出减少。</w:t>
      </w:r>
    </w:p>
    <w:p>
      <w:pPr>
        <w:spacing w:line="576" w:lineRule="exact"/>
        <w:ind w:firstLine="640" w:firstLineChars="200"/>
        <w:rPr>
          <w:rFonts w:ascii="仿宋_GB2312" w:hAnsi="仿宋"/>
          <w:szCs w:val="32"/>
        </w:rPr>
      </w:pPr>
      <w:r>
        <w:rPr>
          <w:rFonts w:hint="eastAsia" w:ascii="仿宋_GB2312" w:hAnsi="仿宋"/>
          <w:szCs w:val="32"/>
        </w:rPr>
        <w:drawing>
          <wp:anchor distT="0" distB="0" distL="114300" distR="114300" simplePos="0" relativeHeight="251662336" behindDoc="0" locked="0" layoutInCell="1" allowOverlap="1">
            <wp:simplePos x="0" y="0"/>
            <wp:positionH relativeFrom="margin">
              <wp:align>center</wp:align>
            </wp:positionH>
            <wp:positionV relativeFrom="paragraph">
              <wp:posOffset>90805</wp:posOffset>
            </wp:positionV>
            <wp:extent cx="4892675" cy="2633980"/>
            <wp:effectExtent l="0" t="0" r="3175" b="13970"/>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_GB2312" w:hAnsi="仿宋"/>
          <w:szCs w:val="32"/>
        </w:rPr>
        <w:t>（图5：一般公共预算财政拨款支出决算变动情况）</w:t>
      </w:r>
    </w:p>
    <w:p>
      <w:pPr>
        <w:spacing w:line="576" w:lineRule="exact"/>
        <w:ind w:firstLine="642" w:firstLineChars="200"/>
        <w:outlineLvl w:val="2"/>
        <w:rPr>
          <w:rFonts w:ascii="仿宋_GB2312" w:hAnsi="仿宋"/>
          <w:b/>
          <w:szCs w:val="32"/>
        </w:rPr>
      </w:pPr>
      <w:bookmarkStart w:id="45" w:name="_Toc15377211"/>
      <w:bookmarkStart w:id="46" w:name="_Toc146616490"/>
      <w:r>
        <w:rPr>
          <w:rFonts w:hint="eastAsia" w:ascii="仿宋_GB2312" w:hAnsi="仿宋"/>
          <w:b/>
          <w:szCs w:val="32"/>
        </w:rPr>
        <w:t>（二）一般公共预算财政拨款支出决算结构情况</w:t>
      </w:r>
      <w:bookmarkEnd w:id="45"/>
      <w:bookmarkEnd w:id="46"/>
    </w:p>
    <w:p>
      <w:pPr>
        <w:pStyle w:val="2"/>
        <w:spacing w:before="93"/>
        <w:ind w:firstLine="640" w:firstLineChars="200"/>
        <w:rPr>
          <w:sz w:val="32"/>
          <w:szCs w:val="32"/>
        </w:rPr>
      </w:pPr>
      <w:r>
        <w:rPr>
          <w:rFonts w:hint="eastAsia" w:hAnsi="仿宋"/>
          <w:sz w:val="32"/>
          <w:szCs w:val="32"/>
        </w:rPr>
        <w:t>202</w:t>
      </w:r>
      <w:r>
        <w:rPr>
          <w:rFonts w:hAnsi="仿宋"/>
          <w:sz w:val="32"/>
          <w:szCs w:val="32"/>
        </w:rPr>
        <w:t>3</w:t>
      </w:r>
      <w:r>
        <w:rPr>
          <w:rFonts w:hint="eastAsia" w:hAnsi="仿宋"/>
          <w:sz w:val="32"/>
          <w:szCs w:val="32"/>
        </w:rPr>
        <w:t>年一般公共预算财政拨款支出</w:t>
      </w:r>
      <w:r>
        <w:rPr>
          <w:rFonts w:hAnsi="仿宋"/>
          <w:sz w:val="32"/>
          <w:szCs w:val="32"/>
        </w:rPr>
        <w:t>3600.61</w:t>
      </w:r>
      <w:r>
        <w:rPr>
          <w:rFonts w:hint="eastAsia" w:hAnsi="仿宋"/>
          <w:sz w:val="32"/>
          <w:szCs w:val="32"/>
        </w:rPr>
        <w:t>万元，主要用于以下方面:社会保障和就业支出1</w:t>
      </w:r>
      <w:r>
        <w:rPr>
          <w:rFonts w:hAnsi="仿宋"/>
          <w:sz w:val="32"/>
          <w:szCs w:val="32"/>
        </w:rPr>
        <w:t>68.64</w:t>
      </w:r>
      <w:r>
        <w:rPr>
          <w:rFonts w:hint="eastAsia" w:hAnsi="仿宋"/>
          <w:sz w:val="32"/>
          <w:szCs w:val="32"/>
        </w:rPr>
        <w:t>万元，占</w:t>
      </w:r>
      <w:r>
        <w:rPr>
          <w:rFonts w:hAnsi="仿宋"/>
          <w:sz w:val="32"/>
          <w:szCs w:val="32"/>
        </w:rPr>
        <w:t>4.7</w:t>
      </w:r>
      <w:r>
        <w:rPr>
          <w:rFonts w:hint="eastAsia" w:hAnsi="仿宋"/>
          <w:sz w:val="32"/>
          <w:szCs w:val="32"/>
        </w:rPr>
        <w:t>%；卫生健康支出</w:t>
      </w:r>
      <w:r>
        <w:rPr>
          <w:rFonts w:hAnsi="仿宋"/>
          <w:sz w:val="32"/>
          <w:szCs w:val="32"/>
        </w:rPr>
        <w:t>39.56</w:t>
      </w:r>
      <w:r>
        <w:rPr>
          <w:rFonts w:hint="eastAsia" w:hAnsi="仿宋"/>
          <w:sz w:val="32"/>
          <w:szCs w:val="32"/>
        </w:rPr>
        <w:t>万元，占</w:t>
      </w:r>
      <w:r>
        <w:rPr>
          <w:rFonts w:hAnsi="仿宋"/>
          <w:sz w:val="32"/>
          <w:szCs w:val="32"/>
        </w:rPr>
        <w:t>1.1</w:t>
      </w:r>
      <w:r>
        <w:rPr>
          <w:rFonts w:hint="eastAsia" w:hAnsi="仿宋"/>
          <w:sz w:val="32"/>
          <w:szCs w:val="32"/>
        </w:rPr>
        <w:t>%；城乡社区支出</w:t>
      </w:r>
      <w:r>
        <w:rPr>
          <w:rFonts w:hAnsi="仿宋"/>
          <w:sz w:val="32"/>
          <w:szCs w:val="32"/>
        </w:rPr>
        <w:t>1830</w:t>
      </w:r>
      <w:r>
        <w:rPr>
          <w:rFonts w:hint="eastAsia" w:hAnsi="仿宋"/>
          <w:sz w:val="32"/>
          <w:szCs w:val="32"/>
        </w:rPr>
        <w:t>万元，占</w:t>
      </w:r>
      <w:r>
        <w:rPr>
          <w:rFonts w:hAnsi="仿宋"/>
          <w:sz w:val="32"/>
          <w:szCs w:val="32"/>
        </w:rPr>
        <w:t>50.8</w:t>
      </w:r>
      <w:r>
        <w:rPr>
          <w:rFonts w:hint="eastAsia" w:hAnsi="仿宋"/>
          <w:sz w:val="32"/>
          <w:szCs w:val="32"/>
        </w:rPr>
        <w:t>%；资源勘探工业信息等支出</w:t>
      </w:r>
      <w:r>
        <w:rPr>
          <w:rFonts w:hAnsi="仿宋"/>
          <w:sz w:val="32"/>
          <w:szCs w:val="32"/>
        </w:rPr>
        <w:t>1391.96</w:t>
      </w:r>
      <w:r>
        <w:rPr>
          <w:rFonts w:hint="eastAsia" w:hAnsi="仿宋"/>
          <w:sz w:val="32"/>
          <w:szCs w:val="32"/>
        </w:rPr>
        <w:t>万元，占</w:t>
      </w:r>
      <w:r>
        <w:rPr>
          <w:rFonts w:hAnsi="仿宋"/>
          <w:sz w:val="32"/>
          <w:szCs w:val="32"/>
        </w:rPr>
        <w:t>38.7</w:t>
      </w:r>
      <w:r>
        <w:rPr>
          <w:rFonts w:hint="eastAsia" w:hAnsi="仿宋"/>
          <w:sz w:val="32"/>
          <w:szCs w:val="32"/>
        </w:rPr>
        <w:t>%；住房保障支出</w:t>
      </w:r>
      <w:r>
        <w:rPr>
          <w:rFonts w:hAnsi="仿宋"/>
          <w:sz w:val="32"/>
          <w:szCs w:val="32"/>
        </w:rPr>
        <w:t>80.45</w:t>
      </w:r>
      <w:r>
        <w:rPr>
          <w:rFonts w:hint="eastAsia" w:hAnsi="仿宋"/>
          <w:sz w:val="32"/>
          <w:szCs w:val="32"/>
        </w:rPr>
        <w:t>万元，占</w:t>
      </w:r>
      <w:r>
        <w:rPr>
          <w:rFonts w:hAnsi="仿宋"/>
          <w:sz w:val="32"/>
          <w:szCs w:val="32"/>
        </w:rPr>
        <w:t>2.2</w:t>
      </w:r>
      <w:r>
        <w:rPr>
          <w:rFonts w:hint="eastAsia" w:hAnsi="仿宋"/>
          <w:sz w:val="32"/>
          <w:szCs w:val="32"/>
        </w:rPr>
        <w:t>%；其他支出9</w:t>
      </w:r>
      <w:r>
        <w:rPr>
          <w:rFonts w:hAnsi="仿宋"/>
          <w:sz w:val="32"/>
          <w:szCs w:val="32"/>
        </w:rPr>
        <w:t>0</w:t>
      </w:r>
      <w:r>
        <w:rPr>
          <w:rFonts w:hint="eastAsia" w:hAnsi="仿宋"/>
          <w:sz w:val="32"/>
          <w:szCs w:val="32"/>
        </w:rPr>
        <w:t>万元，占2</w:t>
      </w:r>
      <w:r>
        <w:rPr>
          <w:rFonts w:hAnsi="仿宋"/>
          <w:sz w:val="32"/>
          <w:szCs w:val="32"/>
        </w:rPr>
        <w:t>.5%</w:t>
      </w:r>
      <w:r>
        <w:rPr>
          <w:rFonts w:hint="eastAsia" w:hAnsi="仿宋"/>
          <w:sz w:val="32"/>
          <w:szCs w:val="32"/>
        </w:rPr>
        <w:t>。</w:t>
      </w:r>
    </w:p>
    <w:p>
      <w:pPr>
        <w:spacing w:line="576" w:lineRule="exact"/>
        <w:rPr>
          <w:rFonts w:ascii="仿宋_GB2312" w:hAnsi="仿宋"/>
          <w:szCs w:val="32"/>
        </w:rPr>
      </w:pPr>
      <w:r>
        <w:rPr>
          <w:rFonts w:hint="eastAsia" w:ascii="仿宋_GB2312"/>
        </w:rPr>
        <w:drawing>
          <wp:anchor distT="0" distB="0" distL="114300" distR="114300" simplePos="0" relativeHeight="251666432" behindDoc="0" locked="0" layoutInCell="1" allowOverlap="1">
            <wp:simplePos x="0" y="0"/>
            <wp:positionH relativeFrom="margin">
              <wp:align>center</wp:align>
            </wp:positionH>
            <wp:positionV relativeFrom="paragraph">
              <wp:posOffset>372745</wp:posOffset>
            </wp:positionV>
            <wp:extent cx="5137785" cy="2967990"/>
            <wp:effectExtent l="0" t="0" r="5715" b="381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576" w:lineRule="exact"/>
        <w:jc w:val="center"/>
        <w:rPr>
          <w:rFonts w:ascii="仿宋_GB2312" w:hAnsi="仿宋"/>
          <w:szCs w:val="32"/>
        </w:rPr>
      </w:pPr>
      <w:r>
        <w:rPr>
          <w:rFonts w:hint="eastAsia" w:ascii="仿宋_GB2312" w:hAnsi="仿宋"/>
          <w:szCs w:val="32"/>
        </w:rPr>
        <w:t>（图6：一般公共预算财政拨款支出决算结构）</w:t>
      </w:r>
    </w:p>
    <w:p>
      <w:pPr>
        <w:spacing w:line="576" w:lineRule="exact"/>
        <w:ind w:firstLine="642" w:firstLineChars="200"/>
        <w:outlineLvl w:val="2"/>
        <w:rPr>
          <w:rFonts w:ascii="仿宋_GB2312" w:hAnsi="仿宋"/>
          <w:b/>
          <w:szCs w:val="32"/>
        </w:rPr>
      </w:pPr>
      <w:bookmarkStart w:id="47" w:name="_Toc15377212"/>
      <w:bookmarkStart w:id="48" w:name="_Toc146616491"/>
      <w:r>
        <w:rPr>
          <w:rFonts w:hint="eastAsia" w:ascii="仿宋_GB2312" w:hAnsi="仿宋"/>
          <w:b/>
          <w:szCs w:val="32"/>
        </w:rPr>
        <w:t>（三）一般公共预算财政拨款支出决算具体情况</w:t>
      </w:r>
      <w:bookmarkEnd w:id="47"/>
      <w:bookmarkEnd w:id="48"/>
    </w:p>
    <w:p>
      <w:pPr>
        <w:ind w:firstLine="642" w:firstLineChars="200"/>
        <w:rPr>
          <w:rFonts w:ascii="仿宋_GB2312"/>
          <w:szCs w:val="32"/>
        </w:rPr>
      </w:pPr>
      <w:bookmarkStart w:id="49" w:name="_Toc15377213"/>
      <w:bookmarkStart w:id="50" w:name="_Toc15377444"/>
      <w:bookmarkStart w:id="51" w:name="_Toc15378460"/>
      <w:r>
        <w:rPr>
          <w:rFonts w:hint="eastAsia" w:ascii="仿宋_GB2312"/>
          <w:b/>
          <w:bCs/>
          <w:szCs w:val="32"/>
        </w:rPr>
        <w:t>202</w:t>
      </w:r>
      <w:r>
        <w:rPr>
          <w:rFonts w:ascii="仿宋_GB2312"/>
          <w:b/>
          <w:bCs/>
          <w:szCs w:val="32"/>
        </w:rPr>
        <w:t>3</w:t>
      </w:r>
      <w:r>
        <w:rPr>
          <w:rFonts w:hint="eastAsia" w:ascii="仿宋_GB2312"/>
          <w:b/>
          <w:bCs/>
          <w:szCs w:val="32"/>
        </w:rPr>
        <w:t>年度一般公共预算支出决算数为</w:t>
      </w:r>
      <w:r>
        <w:rPr>
          <w:rFonts w:ascii="仿宋_GB2312"/>
          <w:b/>
          <w:bCs/>
          <w:szCs w:val="32"/>
        </w:rPr>
        <w:t>3600.61</w:t>
      </w:r>
      <w:r>
        <w:rPr>
          <w:rFonts w:hint="eastAsia" w:ascii="仿宋_GB2312"/>
          <w:b/>
          <w:bCs/>
          <w:szCs w:val="32"/>
        </w:rPr>
        <w:t>万元，</w:t>
      </w:r>
      <w:r>
        <w:rPr>
          <w:rStyle w:val="20"/>
          <w:rFonts w:hint="eastAsia" w:ascii="仿宋_GB2312" w:hAnsi="仿宋"/>
          <w:b w:val="0"/>
          <w:bCs/>
          <w:szCs w:val="32"/>
        </w:rPr>
        <w:t>完成预算</w:t>
      </w:r>
      <w:r>
        <w:rPr>
          <w:rStyle w:val="20"/>
          <w:rFonts w:ascii="仿宋_GB2312" w:hAnsi="仿宋"/>
          <w:b w:val="0"/>
          <w:bCs/>
          <w:szCs w:val="32"/>
        </w:rPr>
        <w:t>99.6</w:t>
      </w:r>
      <w:r>
        <w:rPr>
          <w:rStyle w:val="20"/>
          <w:rFonts w:hint="eastAsia" w:ascii="仿宋_GB2312" w:hAnsi="仿宋"/>
          <w:b w:val="0"/>
          <w:bCs/>
          <w:szCs w:val="32"/>
        </w:rPr>
        <w:t>%。</w:t>
      </w:r>
      <w:r>
        <w:rPr>
          <w:rStyle w:val="20"/>
          <w:rFonts w:hint="eastAsia" w:ascii="仿宋_GB2312" w:hAnsi="仿宋"/>
          <w:bCs/>
          <w:szCs w:val="32"/>
        </w:rPr>
        <w:t>其中：</w:t>
      </w:r>
      <w:bookmarkEnd w:id="49"/>
      <w:bookmarkEnd w:id="50"/>
      <w:bookmarkEnd w:id="51"/>
    </w:p>
    <w:p>
      <w:pPr>
        <w:ind w:firstLine="642" w:firstLineChars="200"/>
        <w:rPr>
          <w:rStyle w:val="20"/>
          <w:rFonts w:ascii="仿宋_GB2312" w:hAnsi="仿宋"/>
          <w:bCs/>
          <w:szCs w:val="32"/>
        </w:rPr>
      </w:pPr>
      <w:r>
        <w:rPr>
          <w:rStyle w:val="20"/>
          <w:rFonts w:hint="eastAsia" w:ascii="仿宋_GB2312" w:hAnsi="仿宋"/>
          <w:bCs/>
          <w:szCs w:val="32"/>
        </w:rPr>
        <w:t>1.社会保障和就业（类）人力资源和社会保障管理事务（款）引进人才费用（项）:</w:t>
      </w:r>
      <w:r>
        <w:rPr>
          <w:rStyle w:val="20"/>
          <w:rFonts w:hint="eastAsia" w:ascii="仿宋_GB2312" w:hAnsi="仿宋"/>
          <w:b w:val="0"/>
          <w:bCs/>
          <w:szCs w:val="32"/>
        </w:rPr>
        <w:t xml:space="preserve"> 支出决算8</w:t>
      </w:r>
      <w:r>
        <w:rPr>
          <w:rStyle w:val="20"/>
          <w:rFonts w:ascii="仿宋_GB2312" w:hAnsi="仿宋"/>
          <w:b w:val="0"/>
          <w:bCs/>
          <w:szCs w:val="32"/>
        </w:rPr>
        <w:t>.3</w:t>
      </w:r>
      <w:r>
        <w:rPr>
          <w:rStyle w:val="20"/>
          <w:rFonts w:hint="eastAsia" w:ascii="仿宋_GB2312" w:hAnsi="仿宋"/>
          <w:b w:val="0"/>
          <w:bCs/>
          <w:szCs w:val="32"/>
        </w:rPr>
        <w:t>万元，完成预算100%</w:t>
      </w:r>
      <w:r>
        <w:rPr>
          <w:rFonts w:hint="eastAsia" w:ascii="仿宋_GB2312"/>
          <w:color w:val="000000"/>
          <w:szCs w:val="32"/>
        </w:rPr>
        <w:t>。</w:t>
      </w:r>
    </w:p>
    <w:p>
      <w:pPr>
        <w:ind w:firstLine="642" w:firstLineChars="200"/>
        <w:rPr>
          <w:rStyle w:val="20"/>
          <w:rFonts w:hint="eastAsia" w:ascii="仿宋_GB2312" w:hAnsi="仿宋" w:eastAsia="仿宋_GB2312"/>
          <w:b w:val="0"/>
          <w:bCs/>
          <w:szCs w:val="32"/>
          <w:lang w:eastAsia="zh-CN"/>
        </w:rPr>
      </w:pPr>
      <w:r>
        <w:rPr>
          <w:rStyle w:val="20"/>
          <w:rFonts w:ascii="仿宋_GB2312" w:hAnsi="仿宋"/>
          <w:szCs w:val="32"/>
        </w:rPr>
        <w:t>2</w:t>
      </w:r>
      <w:r>
        <w:rPr>
          <w:rStyle w:val="20"/>
          <w:rFonts w:hint="eastAsia" w:ascii="仿宋_GB2312" w:hAnsi="仿宋"/>
          <w:szCs w:val="32"/>
        </w:rPr>
        <w:t>.</w:t>
      </w:r>
      <w:r>
        <w:rPr>
          <w:rStyle w:val="20"/>
          <w:rFonts w:hint="eastAsia" w:ascii="仿宋_GB2312" w:hAnsi="仿宋"/>
          <w:bCs/>
          <w:szCs w:val="32"/>
        </w:rPr>
        <w:t>社会保障和就业（类）行政事业单位养老支出（款）机关事业单位基本养老保险缴费支出（项）:</w:t>
      </w:r>
      <w:r>
        <w:rPr>
          <w:rStyle w:val="20"/>
          <w:rFonts w:hint="eastAsia" w:ascii="仿宋_GB2312" w:hAnsi="仿宋"/>
          <w:b w:val="0"/>
          <w:bCs/>
          <w:szCs w:val="32"/>
        </w:rPr>
        <w:t xml:space="preserve"> 支出决算为</w:t>
      </w:r>
      <w:r>
        <w:rPr>
          <w:rStyle w:val="20"/>
          <w:rFonts w:ascii="仿宋_GB2312" w:hAnsi="仿宋"/>
          <w:b w:val="0"/>
          <w:bCs/>
          <w:szCs w:val="32"/>
        </w:rPr>
        <w:t>116.6</w:t>
      </w:r>
      <w:r>
        <w:rPr>
          <w:rStyle w:val="20"/>
          <w:rFonts w:hint="eastAsia" w:ascii="仿宋_GB2312" w:hAnsi="仿宋"/>
          <w:b w:val="0"/>
          <w:bCs/>
          <w:szCs w:val="32"/>
        </w:rPr>
        <w:t>万元，完成预算</w:t>
      </w:r>
      <w:r>
        <w:rPr>
          <w:rStyle w:val="20"/>
          <w:rFonts w:ascii="仿宋_GB2312" w:hAnsi="仿宋"/>
          <w:b w:val="0"/>
          <w:bCs/>
          <w:szCs w:val="32"/>
        </w:rPr>
        <w:t>93.1</w:t>
      </w:r>
      <w:r>
        <w:rPr>
          <w:rStyle w:val="20"/>
          <w:rFonts w:hint="eastAsia" w:ascii="仿宋_GB2312" w:hAnsi="仿宋"/>
          <w:b w:val="0"/>
          <w:bCs/>
          <w:szCs w:val="32"/>
        </w:rPr>
        <w:t>%，决算数小于预算数的主要原因是</w:t>
      </w:r>
      <w:r>
        <w:rPr>
          <w:rFonts w:hint="eastAsia" w:ascii="仿宋_GB2312"/>
          <w:szCs w:val="32"/>
          <w:lang w:eastAsia="zh-CN"/>
        </w:rPr>
        <w:t>部分养老保险年底未支付，结转下年支付。</w:t>
      </w:r>
    </w:p>
    <w:p>
      <w:pPr>
        <w:ind w:firstLine="640" w:firstLineChars="200"/>
        <w:rPr>
          <w:rStyle w:val="20"/>
          <w:rFonts w:ascii="仿宋_GB2312" w:hAnsi="仿宋"/>
          <w:b w:val="0"/>
          <w:bCs/>
          <w:szCs w:val="32"/>
        </w:rPr>
      </w:pPr>
      <w:r>
        <w:rPr>
          <w:rStyle w:val="20"/>
          <w:rFonts w:ascii="仿宋_GB2312" w:hAnsi="仿宋"/>
          <w:b w:val="0"/>
          <w:bCs/>
          <w:szCs w:val="32"/>
        </w:rPr>
        <w:t>3</w:t>
      </w:r>
      <w:r>
        <w:rPr>
          <w:rStyle w:val="20"/>
          <w:rFonts w:hint="eastAsia" w:ascii="仿宋_GB2312" w:hAnsi="仿宋"/>
          <w:b w:val="0"/>
          <w:bCs/>
          <w:szCs w:val="32"/>
        </w:rPr>
        <w:t>.</w:t>
      </w:r>
      <w:r>
        <w:rPr>
          <w:rStyle w:val="20"/>
          <w:rFonts w:hint="eastAsia" w:ascii="仿宋_GB2312" w:hAnsi="仿宋"/>
          <w:bCs/>
          <w:szCs w:val="32"/>
        </w:rPr>
        <w:t>社会保障和就业（类）人力资源和社会保障管理事务（款）机关事业单位职业年金缴费支出（项）:</w:t>
      </w:r>
      <w:r>
        <w:rPr>
          <w:rStyle w:val="20"/>
          <w:rFonts w:hint="eastAsia" w:ascii="仿宋_GB2312" w:hAnsi="仿宋"/>
          <w:b w:val="0"/>
          <w:bCs/>
          <w:szCs w:val="32"/>
        </w:rPr>
        <w:t xml:space="preserve"> 支出决算为</w:t>
      </w:r>
      <w:r>
        <w:rPr>
          <w:rStyle w:val="20"/>
          <w:rFonts w:ascii="仿宋_GB2312" w:hAnsi="仿宋"/>
          <w:b w:val="0"/>
          <w:bCs/>
          <w:szCs w:val="32"/>
        </w:rPr>
        <w:t>37.02</w:t>
      </w:r>
      <w:r>
        <w:rPr>
          <w:rStyle w:val="20"/>
          <w:rFonts w:hint="eastAsia" w:ascii="仿宋_GB2312" w:hAnsi="仿宋"/>
          <w:b w:val="0"/>
          <w:bCs/>
          <w:szCs w:val="32"/>
        </w:rPr>
        <w:t>万元，完成预算100%。</w:t>
      </w:r>
    </w:p>
    <w:p>
      <w:pPr>
        <w:ind w:firstLine="640" w:firstLineChars="200"/>
        <w:rPr>
          <w:rFonts w:ascii="仿宋_GB2312"/>
          <w:b/>
          <w:szCs w:val="32"/>
        </w:rPr>
      </w:pPr>
      <w:r>
        <w:rPr>
          <w:rStyle w:val="20"/>
          <w:rFonts w:ascii="仿宋_GB2312" w:hAnsi="仿宋"/>
          <w:b w:val="0"/>
          <w:bCs/>
          <w:szCs w:val="32"/>
        </w:rPr>
        <w:t>4</w:t>
      </w:r>
      <w:r>
        <w:rPr>
          <w:rStyle w:val="20"/>
          <w:rFonts w:hint="eastAsia" w:ascii="仿宋_GB2312" w:hAnsi="仿宋"/>
          <w:b w:val="0"/>
          <w:bCs/>
          <w:szCs w:val="32"/>
        </w:rPr>
        <w:t>.</w:t>
      </w:r>
      <w:r>
        <w:rPr>
          <w:rStyle w:val="20"/>
          <w:rFonts w:hint="eastAsia" w:ascii="仿宋_GB2312" w:hAnsi="仿宋"/>
          <w:bCs/>
          <w:szCs w:val="32"/>
        </w:rPr>
        <w:t>社会保障和就业（类）其他社会保障和就业支出（款）其他社会保障和就业支出（项）:</w:t>
      </w:r>
      <w:r>
        <w:rPr>
          <w:rStyle w:val="20"/>
          <w:rFonts w:hint="eastAsia" w:ascii="仿宋_GB2312" w:hAnsi="仿宋"/>
          <w:b w:val="0"/>
          <w:bCs/>
          <w:szCs w:val="32"/>
        </w:rPr>
        <w:t xml:space="preserve"> 支出决算为6.</w:t>
      </w:r>
      <w:r>
        <w:rPr>
          <w:rStyle w:val="20"/>
          <w:rFonts w:ascii="仿宋_GB2312" w:hAnsi="仿宋"/>
          <w:b w:val="0"/>
          <w:bCs/>
          <w:szCs w:val="32"/>
        </w:rPr>
        <w:t>72</w:t>
      </w:r>
      <w:r>
        <w:rPr>
          <w:rStyle w:val="20"/>
          <w:rFonts w:hint="eastAsia" w:ascii="仿宋_GB2312" w:hAnsi="仿宋"/>
          <w:b w:val="0"/>
          <w:bCs/>
          <w:szCs w:val="32"/>
        </w:rPr>
        <w:t>万元，完成预算100%。</w:t>
      </w:r>
    </w:p>
    <w:p>
      <w:pPr>
        <w:ind w:firstLine="642" w:firstLineChars="200"/>
        <w:rPr>
          <w:rStyle w:val="20"/>
          <w:rFonts w:ascii="仿宋_GB2312" w:hAnsi="仿宋"/>
          <w:b w:val="0"/>
          <w:bCs/>
          <w:szCs w:val="32"/>
        </w:rPr>
      </w:pPr>
      <w:r>
        <w:rPr>
          <w:rStyle w:val="20"/>
          <w:rFonts w:ascii="仿宋_GB2312" w:hAnsi="仿宋"/>
          <w:bCs/>
          <w:szCs w:val="32"/>
        </w:rPr>
        <w:t>5</w:t>
      </w:r>
      <w:r>
        <w:rPr>
          <w:rStyle w:val="20"/>
          <w:rFonts w:hint="eastAsia" w:ascii="仿宋_GB2312" w:hAnsi="仿宋"/>
          <w:bCs/>
          <w:szCs w:val="32"/>
        </w:rPr>
        <w:t>.</w:t>
      </w:r>
      <w:r>
        <w:rPr>
          <w:rFonts w:hint="eastAsia" w:ascii="仿宋_GB2312"/>
          <w:b/>
          <w:szCs w:val="32"/>
        </w:rPr>
        <w:t>卫生健康</w:t>
      </w:r>
      <w:r>
        <w:rPr>
          <w:rStyle w:val="20"/>
          <w:rFonts w:hint="eastAsia" w:ascii="仿宋_GB2312" w:hAnsi="仿宋"/>
          <w:bCs/>
          <w:szCs w:val="32"/>
        </w:rPr>
        <w:t>（类）行政事业单位医疗（款）行政单位医疗（项）:</w:t>
      </w:r>
      <w:r>
        <w:rPr>
          <w:rStyle w:val="20"/>
          <w:rFonts w:hint="eastAsia" w:ascii="仿宋_GB2312" w:hAnsi="仿宋"/>
          <w:b w:val="0"/>
          <w:bCs/>
          <w:szCs w:val="32"/>
        </w:rPr>
        <w:t>支出决算为</w:t>
      </w:r>
      <w:r>
        <w:rPr>
          <w:rStyle w:val="20"/>
          <w:rFonts w:ascii="仿宋_GB2312" w:hAnsi="仿宋"/>
          <w:b w:val="0"/>
          <w:bCs/>
          <w:szCs w:val="32"/>
        </w:rPr>
        <w:t>26.5</w:t>
      </w:r>
      <w:r>
        <w:rPr>
          <w:rStyle w:val="20"/>
          <w:rFonts w:hint="eastAsia" w:ascii="仿宋_GB2312" w:hAnsi="仿宋"/>
          <w:b w:val="0"/>
          <w:bCs/>
          <w:szCs w:val="32"/>
        </w:rPr>
        <w:t>万元，完成预算</w:t>
      </w:r>
      <w:r>
        <w:rPr>
          <w:rStyle w:val="20"/>
          <w:rFonts w:ascii="仿宋_GB2312" w:hAnsi="仿宋"/>
          <w:b w:val="0"/>
          <w:bCs/>
          <w:szCs w:val="32"/>
        </w:rPr>
        <w:t>100</w:t>
      </w:r>
      <w:r>
        <w:rPr>
          <w:rStyle w:val="20"/>
          <w:rFonts w:hint="eastAsia" w:ascii="仿宋_GB2312" w:hAnsi="仿宋"/>
          <w:b w:val="0"/>
          <w:bCs/>
          <w:szCs w:val="32"/>
        </w:rPr>
        <w:t>%，。</w:t>
      </w:r>
    </w:p>
    <w:p>
      <w:pPr>
        <w:ind w:firstLine="642" w:firstLineChars="200"/>
        <w:rPr>
          <w:rFonts w:ascii="仿宋_GB2312"/>
          <w:b/>
          <w:szCs w:val="32"/>
        </w:rPr>
      </w:pPr>
      <w:r>
        <w:rPr>
          <w:rStyle w:val="20"/>
          <w:rFonts w:ascii="仿宋_GB2312" w:hAnsi="仿宋"/>
          <w:bCs/>
          <w:szCs w:val="32"/>
        </w:rPr>
        <w:t>6</w:t>
      </w:r>
      <w:r>
        <w:rPr>
          <w:rStyle w:val="20"/>
          <w:rFonts w:hint="eastAsia" w:ascii="仿宋_GB2312" w:hAnsi="仿宋"/>
          <w:bCs/>
          <w:szCs w:val="32"/>
        </w:rPr>
        <w:t>.</w:t>
      </w:r>
      <w:r>
        <w:rPr>
          <w:rFonts w:hint="eastAsia" w:ascii="仿宋_GB2312"/>
          <w:b/>
          <w:szCs w:val="32"/>
        </w:rPr>
        <w:t>卫生健康</w:t>
      </w:r>
      <w:r>
        <w:rPr>
          <w:rStyle w:val="20"/>
          <w:rFonts w:hint="eastAsia" w:ascii="仿宋_GB2312" w:hAnsi="仿宋"/>
          <w:bCs/>
          <w:szCs w:val="32"/>
        </w:rPr>
        <w:t>（类）行政事业单位医疗（款）事业单位医疗（项）:</w:t>
      </w:r>
      <w:r>
        <w:rPr>
          <w:rStyle w:val="20"/>
          <w:rFonts w:hint="eastAsia" w:ascii="仿宋_GB2312" w:hAnsi="仿宋"/>
          <w:b w:val="0"/>
          <w:bCs/>
          <w:szCs w:val="32"/>
        </w:rPr>
        <w:t>支出决算为</w:t>
      </w:r>
      <w:r>
        <w:rPr>
          <w:rStyle w:val="20"/>
          <w:rFonts w:ascii="仿宋_GB2312" w:hAnsi="仿宋"/>
          <w:b w:val="0"/>
          <w:bCs/>
          <w:szCs w:val="32"/>
        </w:rPr>
        <w:t>13.05</w:t>
      </w:r>
      <w:r>
        <w:rPr>
          <w:rStyle w:val="20"/>
          <w:rFonts w:hint="eastAsia" w:ascii="仿宋_GB2312" w:hAnsi="仿宋"/>
          <w:b w:val="0"/>
          <w:bCs/>
          <w:szCs w:val="32"/>
        </w:rPr>
        <w:t>万元，完成预算</w:t>
      </w:r>
      <w:r>
        <w:rPr>
          <w:rStyle w:val="20"/>
          <w:rFonts w:ascii="仿宋_GB2312" w:hAnsi="仿宋"/>
          <w:b w:val="0"/>
          <w:bCs/>
          <w:szCs w:val="32"/>
        </w:rPr>
        <w:t>99.9</w:t>
      </w:r>
      <w:r>
        <w:rPr>
          <w:rStyle w:val="20"/>
          <w:rFonts w:hint="eastAsia" w:ascii="仿宋_GB2312" w:hAnsi="仿宋"/>
          <w:b w:val="0"/>
          <w:bCs/>
          <w:szCs w:val="32"/>
        </w:rPr>
        <w:t>%。决算数小于预算数的主要原因是</w:t>
      </w:r>
      <w:r>
        <w:rPr>
          <w:rStyle w:val="20"/>
          <w:rFonts w:hint="eastAsia" w:ascii="仿宋_GB2312" w:hAnsi="仿宋"/>
          <w:b w:val="0"/>
          <w:bCs/>
          <w:szCs w:val="32"/>
          <w:lang w:eastAsia="zh-CN"/>
        </w:rPr>
        <w:t>部分职工医疗保险结转下年支付</w:t>
      </w:r>
      <w:r>
        <w:rPr>
          <w:rStyle w:val="20"/>
          <w:rFonts w:hint="eastAsia" w:ascii="仿宋_GB2312" w:hAnsi="仿宋"/>
          <w:b w:val="0"/>
          <w:bCs/>
          <w:szCs w:val="32"/>
        </w:rPr>
        <w:t>。</w:t>
      </w:r>
    </w:p>
    <w:p>
      <w:pPr>
        <w:ind w:firstLine="642" w:firstLineChars="200"/>
        <w:rPr>
          <w:rStyle w:val="20"/>
          <w:rFonts w:ascii="仿宋_GB2312" w:hAnsi="仿宋"/>
          <w:b w:val="0"/>
          <w:bCs/>
          <w:szCs w:val="32"/>
        </w:rPr>
      </w:pPr>
      <w:r>
        <w:rPr>
          <w:rStyle w:val="20"/>
          <w:rFonts w:ascii="仿宋_GB2312" w:hAnsi="仿宋"/>
          <w:bCs/>
          <w:szCs w:val="32"/>
        </w:rPr>
        <w:t>7</w:t>
      </w:r>
      <w:r>
        <w:rPr>
          <w:rStyle w:val="20"/>
          <w:rFonts w:hint="eastAsia" w:ascii="仿宋_GB2312" w:hAnsi="仿宋"/>
          <w:bCs/>
          <w:szCs w:val="32"/>
        </w:rPr>
        <w:t>.</w:t>
      </w:r>
      <w:r>
        <w:rPr>
          <w:rFonts w:hint="eastAsia" w:ascii="仿宋_GB2312"/>
          <w:b/>
          <w:szCs w:val="32"/>
        </w:rPr>
        <w:t>城乡社区</w:t>
      </w:r>
      <w:r>
        <w:rPr>
          <w:rStyle w:val="20"/>
          <w:rFonts w:hint="eastAsia" w:ascii="仿宋_GB2312" w:hAnsi="仿宋"/>
          <w:bCs/>
          <w:szCs w:val="32"/>
        </w:rPr>
        <w:t>（类）城乡社区公共设施（款）其他城乡社区公共设施支出（项）：</w:t>
      </w:r>
      <w:r>
        <w:rPr>
          <w:rStyle w:val="20"/>
          <w:rFonts w:hint="eastAsia" w:ascii="仿宋_GB2312" w:hAnsi="仿宋"/>
          <w:b w:val="0"/>
          <w:bCs/>
          <w:szCs w:val="32"/>
        </w:rPr>
        <w:t>支出决算为</w:t>
      </w:r>
      <w:r>
        <w:rPr>
          <w:rStyle w:val="20"/>
          <w:rFonts w:ascii="仿宋_GB2312" w:hAnsi="仿宋"/>
          <w:b w:val="0"/>
          <w:bCs/>
          <w:szCs w:val="32"/>
        </w:rPr>
        <w:t>1430</w:t>
      </w:r>
      <w:r>
        <w:rPr>
          <w:rStyle w:val="20"/>
          <w:rFonts w:hint="eastAsia" w:ascii="仿宋_GB2312" w:hAnsi="仿宋"/>
          <w:b w:val="0"/>
          <w:bCs/>
          <w:szCs w:val="32"/>
        </w:rPr>
        <w:t>万元，完成预算100%。</w:t>
      </w:r>
    </w:p>
    <w:p>
      <w:pPr>
        <w:ind w:firstLine="642" w:firstLineChars="200"/>
        <w:rPr>
          <w:rFonts w:ascii="仿宋_GB2312"/>
          <w:b/>
          <w:szCs w:val="32"/>
        </w:rPr>
      </w:pPr>
      <w:r>
        <w:rPr>
          <w:rStyle w:val="20"/>
          <w:rFonts w:ascii="仿宋_GB2312" w:hAnsi="仿宋"/>
          <w:bCs/>
          <w:szCs w:val="32"/>
        </w:rPr>
        <w:t>8</w:t>
      </w:r>
      <w:r>
        <w:rPr>
          <w:rStyle w:val="20"/>
          <w:rFonts w:hint="eastAsia" w:ascii="仿宋_GB2312" w:hAnsi="仿宋"/>
          <w:bCs/>
          <w:szCs w:val="32"/>
        </w:rPr>
        <w:t>.</w:t>
      </w:r>
      <w:r>
        <w:rPr>
          <w:rFonts w:hint="eastAsia" w:ascii="仿宋_GB2312"/>
          <w:b/>
          <w:szCs w:val="32"/>
        </w:rPr>
        <w:t>城乡社区</w:t>
      </w:r>
      <w:r>
        <w:rPr>
          <w:rStyle w:val="20"/>
          <w:rFonts w:hint="eastAsia" w:ascii="仿宋_GB2312" w:hAnsi="仿宋"/>
          <w:bCs/>
          <w:szCs w:val="32"/>
        </w:rPr>
        <w:t>（类）其他城乡社区支出（款）其他城乡社区支出（项）：</w:t>
      </w:r>
      <w:r>
        <w:rPr>
          <w:rStyle w:val="20"/>
          <w:rFonts w:hint="eastAsia" w:ascii="仿宋_GB2312" w:hAnsi="仿宋"/>
          <w:b w:val="0"/>
          <w:bCs/>
          <w:szCs w:val="32"/>
        </w:rPr>
        <w:t>支出决算为</w:t>
      </w:r>
      <w:r>
        <w:rPr>
          <w:rStyle w:val="20"/>
          <w:rFonts w:ascii="仿宋_GB2312" w:hAnsi="仿宋"/>
          <w:b w:val="0"/>
          <w:bCs/>
          <w:szCs w:val="32"/>
        </w:rPr>
        <w:t>400</w:t>
      </w:r>
      <w:r>
        <w:rPr>
          <w:rStyle w:val="20"/>
          <w:rFonts w:hint="eastAsia" w:ascii="仿宋_GB2312" w:hAnsi="仿宋"/>
          <w:b w:val="0"/>
          <w:bCs/>
          <w:szCs w:val="32"/>
        </w:rPr>
        <w:t>万元，完成预算100%。</w:t>
      </w:r>
    </w:p>
    <w:p>
      <w:pPr>
        <w:ind w:firstLine="642" w:firstLineChars="200"/>
        <w:rPr>
          <w:rStyle w:val="20"/>
          <w:rFonts w:ascii="仿宋_GB2312" w:hAnsi="仿宋"/>
          <w:b w:val="0"/>
          <w:bCs/>
          <w:szCs w:val="32"/>
        </w:rPr>
      </w:pPr>
      <w:r>
        <w:rPr>
          <w:rStyle w:val="20"/>
          <w:rFonts w:hint="eastAsia" w:ascii="仿宋_GB2312" w:hAnsi="仿宋"/>
          <w:bCs/>
          <w:szCs w:val="32"/>
        </w:rPr>
        <w:t>9.</w:t>
      </w:r>
      <w:r>
        <w:rPr>
          <w:rFonts w:hint="eastAsia" w:ascii="仿宋_GB2312"/>
          <w:b/>
          <w:szCs w:val="32"/>
        </w:rPr>
        <w:t>资源勘探工业信息等支出</w:t>
      </w:r>
      <w:r>
        <w:rPr>
          <w:rStyle w:val="20"/>
          <w:rFonts w:hint="eastAsia" w:ascii="仿宋_GB2312" w:hAnsi="仿宋"/>
          <w:bCs/>
          <w:szCs w:val="32"/>
        </w:rPr>
        <w:t>（类）国有资产监管（款）行政运行（项）：</w:t>
      </w:r>
      <w:r>
        <w:rPr>
          <w:rStyle w:val="20"/>
          <w:rFonts w:hint="eastAsia" w:ascii="仿宋_GB2312" w:hAnsi="仿宋"/>
          <w:b w:val="0"/>
          <w:bCs/>
          <w:szCs w:val="32"/>
        </w:rPr>
        <w:t>支出决算为</w:t>
      </w:r>
      <w:r>
        <w:rPr>
          <w:rStyle w:val="20"/>
          <w:rFonts w:ascii="仿宋_GB2312" w:hAnsi="仿宋"/>
          <w:b w:val="0"/>
          <w:bCs/>
          <w:szCs w:val="32"/>
        </w:rPr>
        <w:t>530.24</w:t>
      </w:r>
      <w:r>
        <w:rPr>
          <w:rStyle w:val="20"/>
          <w:rFonts w:hint="eastAsia" w:ascii="仿宋_GB2312" w:hAnsi="仿宋"/>
          <w:b w:val="0"/>
          <w:bCs/>
          <w:szCs w:val="32"/>
        </w:rPr>
        <w:t>万元，完成预算100 %。</w:t>
      </w:r>
    </w:p>
    <w:p>
      <w:pPr>
        <w:ind w:firstLine="642" w:firstLineChars="200"/>
        <w:rPr>
          <w:rFonts w:ascii="仿宋_GB2312"/>
          <w:b/>
          <w:szCs w:val="32"/>
        </w:rPr>
      </w:pPr>
      <w:r>
        <w:rPr>
          <w:rStyle w:val="20"/>
          <w:rFonts w:hint="eastAsia" w:ascii="仿宋_GB2312" w:hAnsi="仿宋"/>
          <w:bCs/>
          <w:szCs w:val="32"/>
        </w:rPr>
        <w:t>10.</w:t>
      </w:r>
      <w:r>
        <w:rPr>
          <w:rFonts w:hint="eastAsia" w:ascii="仿宋_GB2312"/>
          <w:b/>
          <w:szCs w:val="32"/>
        </w:rPr>
        <w:t>资源勘探工业信息等支出</w:t>
      </w:r>
      <w:r>
        <w:rPr>
          <w:rStyle w:val="20"/>
          <w:rFonts w:hint="eastAsia" w:ascii="仿宋_GB2312" w:hAnsi="仿宋"/>
          <w:bCs/>
          <w:szCs w:val="32"/>
        </w:rPr>
        <w:t>（类）国有资产监管（款）一般行政管理事务（项）：</w:t>
      </w:r>
      <w:r>
        <w:rPr>
          <w:rStyle w:val="20"/>
          <w:rFonts w:hint="eastAsia" w:ascii="仿宋_GB2312" w:hAnsi="仿宋_GB2312" w:cs="仿宋_GB2312"/>
          <w:b w:val="0"/>
          <w:bCs/>
          <w:szCs w:val="32"/>
        </w:rPr>
        <w:t>支出决算为</w:t>
      </w:r>
      <w:r>
        <w:rPr>
          <w:rStyle w:val="20"/>
          <w:rFonts w:ascii="仿宋_GB2312" w:hAnsi="仿宋_GB2312" w:cs="仿宋_GB2312"/>
          <w:b w:val="0"/>
          <w:bCs/>
          <w:szCs w:val="32"/>
        </w:rPr>
        <w:t>157.27</w:t>
      </w:r>
      <w:r>
        <w:rPr>
          <w:rStyle w:val="20"/>
          <w:rFonts w:hint="eastAsia" w:ascii="仿宋_GB2312" w:hAnsi="仿宋_GB2312" w:cs="仿宋_GB2312"/>
          <w:b w:val="0"/>
          <w:bCs/>
          <w:szCs w:val="32"/>
        </w:rPr>
        <w:t>万元，完成预算</w:t>
      </w:r>
      <w:r>
        <w:rPr>
          <w:rStyle w:val="20"/>
          <w:rFonts w:ascii="仿宋_GB2312" w:hAnsi="仿宋_GB2312" w:cs="仿宋_GB2312"/>
          <w:b w:val="0"/>
          <w:bCs/>
          <w:szCs w:val="32"/>
        </w:rPr>
        <w:t>98.2</w:t>
      </w:r>
      <w:r>
        <w:rPr>
          <w:rStyle w:val="20"/>
          <w:rFonts w:hint="eastAsia" w:ascii="仿宋_GB2312" w:hAnsi="仿宋_GB2312" w:cs="仿宋_GB2312"/>
          <w:b w:val="0"/>
          <w:bCs/>
          <w:szCs w:val="32"/>
        </w:rPr>
        <w:t>%，决算数小于预算数的主要原因是严格贯彻“过紧日子”要求，压减支出。</w:t>
      </w:r>
      <w:r>
        <w:rPr>
          <w:rFonts w:ascii="仿宋_GB2312"/>
          <w:b/>
          <w:szCs w:val="32"/>
        </w:rPr>
        <w:t xml:space="preserve"> </w:t>
      </w:r>
    </w:p>
    <w:p>
      <w:pPr>
        <w:ind w:firstLine="642" w:firstLineChars="200"/>
        <w:rPr>
          <w:rFonts w:ascii="仿宋_GB2312"/>
          <w:color w:val="000000"/>
          <w:szCs w:val="32"/>
        </w:rPr>
      </w:pPr>
      <w:r>
        <w:rPr>
          <w:rStyle w:val="20"/>
          <w:rFonts w:hint="eastAsia" w:ascii="仿宋_GB2312" w:hAnsi="仿宋"/>
          <w:bCs/>
          <w:szCs w:val="32"/>
        </w:rPr>
        <w:t>11.</w:t>
      </w:r>
      <w:r>
        <w:rPr>
          <w:rFonts w:hint="eastAsia" w:ascii="仿宋_GB2312"/>
          <w:b/>
          <w:szCs w:val="32"/>
        </w:rPr>
        <w:t>资源勘探工业信息等支出</w:t>
      </w:r>
      <w:r>
        <w:rPr>
          <w:rStyle w:val="20"/>
          <w:rFonts w:hint="eastAsia" w:ascii="仿宋_GB2312" w:hAnsi="仿宋"/>
          <w:bCs/>
          <w:szCs w:val="32"/>
        </w:rPr>
        <w:t>（类）国有资产监管（款）其他国有资产监管支出（项）：</w:t>
      </w:r>
      <w:r>
        <w:rPr>
          <w:rStyle w:val="20"/>
          <w:rFonts w:hint="eastAsia" w:ascii="仿宋_GB2312" w:hAnsi="仿宋"/>
          <w:b w:val="0"/>
          <w:bCs/>
          <w:szCs w:val="32"/>
        </w:rPr>
        <w:t>支出决算为</w:t>
      </w:r>
      <w:r>
        <w:rPr>
          <w:rStyle w:val="20"/>
          <w:rFonts w:ascii="仿宋_GB2312" w:hAnsi="仿宋"/>
          <w:b w:val="0"/>
          <w:bCs/>
          <w:szCs w:val="32"/>
        </w:rPr>
        <w:t>704.46</w:t>
      </w:r>
      <w:r>
        <w:rPr>
          <w:rStyle w:val="20"/>
          <w:rFonts w:hint="eastAsia" w:ascii="仿宋_GB2312" w:hAnsi="仿宋"/>
          <w:b w:val="0"/>
          <w:bCs/>
          <w:szCs w:val="32"/>
        </w:rPr>
        <w:t>万元，完成预算9</w:t>
      </w:r>
      <w:r>
        <w:rPr>
          <w:rStyle w:val="20"/>
          <w:rFonts w:ascii="仿宋_GB2312" w:hAnsi="仿宋"/>
          <w:b w:val="0"/>
          <w:bCs/>
          <w:szCs w:val="32"/>
        </w:rPr>
        <w:t>9.8</w:t>
      </w:r>
      <w:r>
        <w:rPr>
          <w:rStyle w:val="20"/>
          <w:rFonts w:hint="eastAsia" w:ascii="仿宋_GB2312" w:hAnsi="仿宋"/>
          <w:b w:val="0"/>
          <w:bCs/>
          <w:szCs w:val="32"/>
        </w:rPr>
        <w:t>%，</w:t>
      </w:r>
      <w:r>
        <w:rPr>
          <w:rStyle w:val="20"/>
          <w:rFonts w:hint="eastAsia" w:ascii="仿宋_GB2312" w:hAnsi="仿宋_GB2312" w:cs="仿宋_GB2312"/>
          <w:b w:val="0"/>
          <w:bCs/>
          <w:szCs w:val="32"/>
        </w:rPr>
        <w:t>决算数小于预算数的主要原因是严格贯彻“过紧日子”要求，压减支出。</w:t>
      </w:r>
    </w:p>
    <w:p>
      <w:pPr>
        <w:ind w:firstLine="642" w:firstLineChars="200"/>
        <w:rPr>
          <w:rStyle w:val="20"/>
          <w:rFonts w:ascii="仿宋_GB2312" w:hAnsi="仿宋"/>
          <w:b w:val="0"/>
          <w:bCs/>
          <w:szCs w:val="32"/>
        </w:rPr>
      </w:pPr>
      <w:r>
        <w:rPr>
          <w:rStyle w:val="20"/>
          <w:rFonts w:hint="eastAsia" w:ascii="仿宋_GB2312" w:hAnsi="仿宋"/>
          <w:bCs/>
          <w:szCs w:val="32"/>
        </w:rPr>
        <w:t>12.</w:t>
      </w:r>
      <w:r>
        <w:rPr>
          <w:rFonts w:hint="eastAsia" w:ascii="仿宋_GB2312"/>
          <w:b/>
          <w:szCs w:val="32"/>
        </w:rPr>
        <w:t>住房保障</w:t>
      </w:r>
      <w:r>
        <w:rPr>
          <w:rStyle w:val="20"/>
          <w:rFonts w:hint="eastAsia" w:ascii="仿宋_GB2312" w:hAnsi="仿宋"/>
          <w:bCs/>
          <w:szCs w:val="32"/>
        </w:rPr>
        <w:t>（类）住房改革支出（款）住房公积金（项）：</w:t>
      </w:r>
      <w:r>
        <w:rPr>
          <w:rStyle w:val="20"/>
          <w:rFonts w:hint="eastAsia" w:ascii="仿宋_GB2312" w:hAnsi="仿宋"/>
          <w:b w:val="0"/>
          <w:bCs/>
          <w:szCs w:val="32"/>
        </w:rPr>
        <w:t>支出决算为</w:t>
      </w:r>
      <w:r>
        <w:rPr>
          <w:rStyle w:val="20"/>
          <w:rFonts w:ascii="仿宋_GB2312" w:hAnsi="仿宋"/>
          <w:b w:val="0"/>
          <w:bCs/>
          <w:szCs w:val="32"/>
        </w:rPr>
        <w:t>80.45</w:t>
      </w:r>
      <w:r>
        <w:rPr>
          <w:rStyle w:val="20"/>
          <w:rFonts w:hint="eastAsia" w:ascii="仿宋_GB2312" w:hAnsi="仿宋"/>
          <w:b w:val="0"/>
          <w:bCs/>
          <w:szCs w:val="32"/>
        </w:rPr>
        <w:t>万元，完成预算10</w:t>
      </w:r>
      <w:r>
        <w:rPr>
          <w:rStyle w:val="20"/>
          <w:rFonts w:ascii="仿宋_GB2312" w:hAnsi="仿宋"/>
          <w:b w:val="0"/>
          <w:bCs/>
          <w:szCs w:val="32"/>
        </w:rPr>
        <w:t>0</w:t>
      </w:r>
      <w:r>
        <w:rPr>
          <w:rStyle w:val="20"/>
          <w:rFonts w:hint="eastAsia" w:ascii="仿宋_GB2312" w:hAnsi="仿宋"/>
          <w:b w:val="0"/>
          <w:bCs/>
          <w:szCs w:val="32"/>
        </w:rPr>
        <w:t>%。</w:t>
      </w:r>
    </w:p>
    <w:p>
      <w:pPr>
        <w:spacing w:line="600" w:lineRule="exact"/>
        <w:ind w:firstLine="642" w:firstLineChars="200"/>
        <w:rPr>
          <w:rFonts w:hint="eastAsia" w:ascii="仿宋_GB2312" w:hAnsi="仿宋_GB2312" w:cs="仿宋_GB2312"/>
          <w:bCs/>
          <w:szCs w:val="32"/>
        </w:rPr>
      </w:pPr>
      <w:r>
        <w:rPr>
          <w:rStyle w:val="20"/>
          <w:rFonts w:ascii="仿宋_GB2312" w:hAnsi="仿宋_GB2312" w:cs="仿宋_GB2312"/>
          <w:bCs/>
          <w:szCs w:val="32"/>
        </w:rPr>
        <w:t>13.</w:t>
      </w:r>
      <w:r>
        <w:rPr>
          <w:rFonts w:hint="eastAsia"/>
        </w:rPr>
        <w:t xml:space="preserve"> </w:t>
      </w:r>
      <w:r>
        <w:rPr>
          <w:rFonts w:hint="eastAsia" w:ascii="仿宋_GB2312" w:hAnsi="仿宋_GB2312" w:cs="仿宋_GB2312"/>
          <w:b/>
          <w:bCs/>
          <w:szCs w:val="32"/>
        </w:rPr>
        <w:t>其他支出（类）其他支出（款）其他支出（项）:</w:t>
      </w:r>
      <w:r>
        <w:rPr>
          <w:rStyle w:val="20"/>
          <w:rFonts w:hint="eastAsia" w:ascii="仿宋_GB2312" w:hAnsi="仿宋_GB2312" w:cs="仿宋_GB2312"/>
          <w:b w:val="0"/>
          <w:bCs/>
          <w:szCs w:val="32"/>
        </w:rPr>
        <w:t>支出决算为</w:t>
      </w:r>
      <w:r>
        <w:rPr>
          <w:rStyle w:val="20"/>
          <w:rFonts w:ascii="仿宋_GB2312" w:hAnsi="仿宋_GB2312" w:cs="仿宋_GB2312"/>
          <w:b w:val="0"/>
          <w:bCs/>
          <w:szCs w:val="32"/>
        </w:rPr>
        <w:t>90</w:t>
      </w:r>
      <w:r>
        <w:rPr>
          <w:rStyle w:val="20"/>
          <w:rFonts w:hint="eastAsia" w:ascii="仿宋_GB2312" w:hAnsi="仿宋_GB2312" w:cs="仿宋_GB2312"/>
          <w:b w:val="0"/>
          <w:bCs/>
          <w:szCs w:val="32"/>
        </w:rPr>
        <w:t>万元，完成预算</w:t>
      </w:r>
      <w:r>
        <w:rPr>
          <w:rStyle w:val="20"/>
          <w:rFonts w:ascii="仿宋_GB2312" w:hAnsi="仿宋_GB2312" w:cs="仿宋_GB2312"/>
          <w:b w:val="0"/>
          <w:bCs/>
          <w:szCs w:val="32"/>
        </w:rPr>
        <w:t>100</w:t>
      </w:r>
      <w:r>
        <w:rPr>
          <w:rStyle w:val="20"/>
          <w:rFonts w:hint="eastAsia" w:ascii="仿宋_GB2312" w:hAnsi="仿宋_GB2312" w:cs="仿宋_GB2312"/>
          <w:b w:val="0"/>
          <w:bCs/>
          <w:szCs w:val="32"/>
        </w:rPr>
        <w:t>%。</w:t>
      </w:r>
    </w:p>
    <w:p>
      <w:pPr>
        <w:tabs>
          <w:tab w:val="right" w:pos="8306"/>
        </w:tabs>
        <w:spacing w:line="576" w:lineRule="exact"/>
        <w:ind w:firstLine="640"/>
        <w:outlineLvl w:val="1"/>
        <w:rPr>
          <w:rStyle w:val="33"/>
        </w:rPr>
      </w:pPr>
      <w:bookmarkStart w:id="52" w:name="_Toc146616492"/>
      <w:bookmarkStart w:id="53" w:name="_Toc15396608"/>
      <w:bookmarkStart w:id="54" w:name="_Toc15377214"/>
      <w:r>
        <w:rPr>
          <w:rFonts w:hint="eastAsia" w:ascii="黑体" w:eastAsia="黑体"/>
          <w:szCs w:val="32"/>
        </w:rPr>
        <w:t>六</w:t>
      </w:r>
      <w:r>
        <w:rPr>
          <w:rFonts w:hint="eastAsia" w:ascii="黑体" w:eastAsia="黑体"/>
          <w:b/>
          <w:szCs w:val="32"/>
        </w:rPr>
        <w:t>、</w:t>
      </w:r>
      <w:r>
        <w:rPr>
          <w:rFonts w:hint="eastAsia" w:ascii="黑体" w:hAnsi="黑体" w:eastAsia="黑体"/>
          <w:b/>
          <w:szCs w:val="32"/>
        </w:rPr>
        <w:t>一</w:t>
      </w:r>
      <w:r>
        <w:rPr>
          <w:rStyle w:val="33"/>
          <w:rFonts w:hint="eastAsia" w:ascii="黑体" w:hAnsi="黑体" w:eastAsia="黑体"/>
          <w:b w:val="0"/>
        </w:rPr>
        <w:t>般公共预算财政拨款基本支出决算情况说明</w:t>
      </w:r>
      <w:bookmarkEnd w:id="52"/>
      <w:bookmarkEnd w:id="53"/>
      <w:bookmarkEnd w:id="54"/>
      <w:r>
        <w:rPr>
          <w:rStyle w:val="33"/>
          <w:rFonts w:ascii="黑体" w:hAnsi="黑体" w:eastAsia="黑体"/>
          <w:b w:val="0"/>
        </w:rPr>
        <w:tab/>
      </w:r>
    </w:p>
    <w:p>
      <w:pPr>
        <w:spacing w:line="576" w:lineRule="exact"/>
        <w:ind w:firstLine="645"/>
        <w:rPr>
          <w:rFonts w:ascii="仿宋_GB2312" w:hAnsi="仿宋"/>
          <w:szCs w:val="32"/>
        </w:rPr>
      </w:pPr>
      <w:r>
        <w:rPr>
          <w:rFonts w:hint="eastAsia" w:ascii="仿宋_GB2312" w:hAnsi="仿宋"/>
          <w:szCs w:val="32"/>
        </w:rPr>
        <w:t>202</w:t>
      </w:r>
      <w:r>
        <w:rPr>
          <w:rFonts w:ascii="仿宋_GB2312" w:hAnsi="仿宋"/>
          <w:szCs w:val="32"/>
        </w:rPr>
        <w:t>3</w:t>
      </w:r>
      <w:r>
        <w:rPr>
          <w:rFonts w:hint="eastAsia" w:ascii="仿宋_GB2312" w:hAnsi="仿宋"/>
          <w:szCs w:val="32"/>
        </w:rPr>
        <w:t>年一般公共预算财政拨款基本支出</w:t>
      </w:r>
      <w:r>
        <w:rPr>
          <w:rFonts w:ascii="仿宋_GB2312" w:hAnsi="仿宋"/>
          <w:szCs w:val="32"/>
        </w:rPr>
        <w:t>1208.25</w:t>
      </w:r>
      <w:r>
        <w:rPr>
          <w:rFonts w:hint="eastAsia" w:ascii="仿宋_GB2312" w:hAnsi="仿宋"/>
          <w:szCs w:val="32"/>
        </w:rPr>
        <w:t>万元，其中：</w:t>
      </w:r>
    </w:p>
    <w:p>
      <w:pPr>
        <w:spacing w:line="576" w:lineRule="exact"/>
        <w:ind w:firstLine="645"/>
        <w:rPr>
          <w:rFonts w:ascii="仿宋_GB2312" w:hAnsi="仿宋"/>
          <w:szCs w:val="32"/>
        </w:rPr>
      </w:pPr>
      <w:r>
        <w:rPr>
          <w:rFonts w:hint="eastAsia" w:ascii="仿宋_GB2312" w:hAnsi="仿宋"/>
          <w:szCs w:val="32"/>
        </w:rPr>
        <w:t>人员经费10</w:t>
      </w:r>
      <w:r>
        <w:rPr>
          <w:rFonts w:ascii="仿宋_GB2312" w:hAnsi="仿宋"/>
          <w:szCs w:val="32"/>
        </w:rPr>
        <w:t>72.32</w:t>
      </w:r>
      <w:r>
        <w:rPr>
          <w:rFonts w:hint="eastAsia" w:ascii="仿宋_GB2312" w:hAnsi="仿宋"/>
          <w:szCs w:val="32"/>
        </w:rPr>
        <w:t>万元，主要包括：基本工资、津贴补贴、奖金、绩效工资、机关事业单位基本养老保险缴费、职业年金缴费、职工基本医疗保险缴费、其他社会保障缴费、住房公积金、生活补助、医疗费补助、奖励金、其他对个人和家庭的补助支出。</w:t>
      </w:r>
      <w:r>
        <w:rPr>
          <w:rFonts w:hint="eastAsia" w:ascii="仿宋_GB2312" w:hAnsi="仿宋"/>
          <w:szCs w:val="32"/>
        </w:rPr>
        <w:br w:type="textWrapping"/>
      </w:r>
      <w:r>
        <w:rPr>
          <w:rFonts w:hint="eastAsia" w:ascii="仿宋_GB2312" w:hAnsi="仿宋"/>
          <w:szCs w:val="32"/>
        </w:rPr>
        <w:t>　　公用经费1</w:t>
      </w:r>
      <w:r>
        <w:rPr>
          <w:rFonts w:ascii="仿宋_GB2312" w:hAnsi="仿宋"/>
          <w:szCs w:val="32"/>
        </w:rPr>
        <w:t>35.93</w:t>
      </w:r>
      <w:r>
        <w:rPr>
          <w:rFonts w:hint="eastAsia" w:ascii="仿宋_GB2312" w:hAnsi="仿宋"/>
          <w:szCs w:val="32"/>
        </w:rPr>
        <w:t>万元，主要包括：办公费、印刷费、咨询费、水费、电费、邮电费、物业管理费、差旅费、维修（护）费、会议费、培训费、公务接待费、劳务费、工会经费、福利费、公务用车运行维护费、其他交通费用、其他商品和服务支出。</w:t>
      </w:r>
    </w:p>
    <w:p>
      <w:pPr>
        <w:spacing w:line="576" w:lineRule="exact"/>
        <w:ind w:firstLine="640"/>
        <w:outlineLvl w:val="1"/>
        <w:rPr>
          <w:rStyle w:val="33"/>
          <w:rFonts w:ascii="黑体" w:hAnsi="黑体" w:eastAsia="黑体"/>
          <w:b w:val="0"/>
        </w:rPr>
      </w:pPr>
      <w:bookmarkStart w:id="55" w:name="_Toc15377215"/>
      <w:bookmarkStart w:id="56" w:name="_Toc146616493"/>
      <w:bookmarkStart w:id="57" w:name="_Toc15396609"/>
      <w:r>
        <w:rPr>
          <w:rFonts w:hint="eastAsia" w:ascii="黑体" w:eastAsia="黑体"/>
          <w:szCs w:val="32"/>
        </w:rPr>
        <w:t>七、</w:t>
      </w:r>
      <w:r>
        <w:rPr>
          <w:rStyle w:val="33"/>
          <w:rFonts w:hint="eastAsia" w:ascii="黑体" w:hAnsi="黑体" w:eastAsia="黑体"/>
          <w:b w:val="0"/>
        </w:rPr>
        <w:t>财政拨款</w:t>
      </w:r>
      <w:r>
        <w:rPr>
          <w:rStyle w:val="33"/>
          <w:rFonts w:hint="eastAsia" w:ascii="黑体" w:hAnsi="黑体" w:eastAsia="黑体"/>
        </w:rPr>
        <w:t>“</w:t>
      </w:r>
      <w:r>
        <w:rPr>
          <w:rStyle w:val="33"/>
          <w:rFonts w:hint="eastAsia" w:ascii="黑体" w:hAnsi="黑体" w:eastAsia="黑体"/>
          <w:b w:val="0"/>
        </w:rPr>
        <w:t>三公”经费支出决算情况说明</w:t>
      </w:r>
      <w:bookmarkEnd w:id="55"/>
      <w:bookmarkEnd w:id="56"/>
      <w:bookmarkEnd w:id="57"/>
    </w:p>
    <w:p>
      <w:pPr>
        <w:spacing w:line="576" w:lineRule="exact"/>
        <w:ind w:firstLine="640"/>
        <w:outlineLvl w:val="2"/>
        <w:rPr>
          <w:rFonts w:ascii="仿宋" w:hAnsi="仿宋" w:eastAsia="仿宋"/>
          <w:b/>
          <w:szCs w:val="32"/>
        </w:rPr>
      </w:pPr>
      <w:bookmarkStart w:id="58" w:name="_Toc146616494"/>
      <w:bookmarkStart w:id="59" w:name="_Toc15377216"/>
      <w:r>
        <w:rPr>
          <w:rFonts w:hint="eastAsia" w:ascii="仿宋" w:hAnsi="仿宋" w:eastAsia="仿宋"/>
          <w:b/>
          <w:szCs w:val="32"/>
        </w:rPr>
        <w:t>（一）“三公”经费财政拨款支出决算总体情况说明</w:t>
      </w:r>
      <w:bookmarkEnd w:id="58"/>
      <w:bookmarkEnd w:id="59"/>
    </w:p>
    <w:p>
      <w:pPr>
        <w:spacing w:line="576" w:lineRule="exact"/>
        <w:ind w:firstLine="640"/>
        <w:rPr>
          <w:rFonts w:ascii="仿宋_GB2312" w:hAnsi="仿宋"/>
          <w:szCs w:val="32"/>
        </w:rPr>
      </w:pPr>
      <w:r>
        <w:rPr>
          <w:rFonts w:hint="eastAsia" w:ascii="仿宋_GB2312" w:hAnsi="仿宋"/>
          <w:szCs w:val="32"/>
        </w:rPr>
        <w:t>202</w:t>
      </w:r>
      <w:r>
        <w:rPr>
          <w:rFonts w:ascii="仿宋_GB2312" w:hAnsi="仿宋"/>
          <w:szCs w:val="32"/>
        </w:rPr>
        <w:t>3</w:t>
      </w:r>
      <w:r>
        <w:rPr>
          <w:rFonts w:hint="eastAsia" w:ascii="仿宋_GB2312" w:hAnsi="仿宋"/>
          <w:szCs w:val="32"/>
        </w:rPr>
        <w:t>年“三公”经费财政拨款支出决算为3.</w:t>
      </w:r>
      <w:r>
        <w:rPr>
          <w:rFonts w:ascii="仿宋_GB2312" w:hAnsi="仿宋"/>
          <w:szCs w:val="32"/>
        </w:rPr>
        <w:t>7</w:t>
      </w:r>
      <w:r>
        <w:rPr>
          <w:rFonts w:hint="eastAsia" w:ascii="仿宋_GB2312" w:hAnsi="仿宋"/>
          <w:szCs w:val="32"/>
        </w:rPr>
        <w:t>万元，完成预算</w:t>
      </w:r>
      <w:r>
        <w:rPr>
          <w:rFonts w:ascii="仿宋_GB2312" w:hAnsi="仿宋"/>
          <w:szCs w:val="32"/>
        </w:rPr>
        <w:t>99.7</w:t>
      </w:r>
      <w:r>
        <w:rPr>
          <w:rFonts w:hint="eastAsia" w:ascii="仿宋_GB2312" w:hAnsi="仿宋"/>
          <w:szCs w:val="32"/>
        </w:rPr>
        <w:t>%，较上年减少0</w:t>
      </w:r>
      <w:r>
        <w:rPr>
          <w:rFonts w:ascii="仿宋_GB2312" w:hAnsi="仿宋"/>
          <w:szCs w:val="32"/>
        </w:rPr>
        <w:t>.26</w:t>
      </w:r>
      <w:r>
        <w:rPr>
          <w:rFonts w:hint="eastAsia" w:ascii="仿宋_GB2312" w:hAnsi="仿宋"/>
          <w:szCs w:val="32"/>
        </w:rPr>
        <w:t>万元，下降</w:t>
      </w:r>
      <w:r>
        <w:rPr>
          <w:rFonts w:ascii="仿宋_GB2312" w:hAnsi="仿宋"/>
          <w:szCs w:val="32"/>
        </w:rPr>
        <w:t>6.6</w:t>
      </w:r>
      <w:r>
        <w:rPr>
          <w:rFonts w:hint="eastAsia" w:ascii="仿宋_GB2312" w:hAnsi="仿宋"/>
          <w:szCs w:val="32"/>
        </w:rPr>
        <w:t>%。决算数小于预算数的主要原因是本部门始终</w:t>
      </w:r>
      <w:r>
        <w:rPr>
          <w:rFonts w:hint="eastAsia" w:ascii="仿宋_GB2312" w:hAnsi="仿宋"/>
          <w:color w:val="000000"/>
          <w:szCs w:val="32"/>
        </w:rPr>
        <w:t>不折不扣落实国省市压减一般性支出的精神</w:t>
      </w:r>
      <w:r>
        <w:rPr>
          <w:rFonts w:hint="eastAsia" w:ascii="仿宋_GB2312" w:hAnsi="仿宋"/>
          <w:szCs w:val="32"/>
        </w:rPr>
        <w:t>。</w:t>
      </w:r>
    </w:p>
    <w:p>
      <w:pPr>
        <w:spacing w:line="576" w:lineRule="exact"/>
        <w:ind w:firstLine="640"/>
        <w:outlineLvl w:val="2"/>
        <w:rPr>
          <w:rFonts w:ascii="仿宋" w:hAnsi="仿宋" w:eastAsia="仿宋"/>
          <w:b/>
          <w:szCs w:val="32"/>
        </w:rPr>
      </w:pPr>
      <w:bookmarkStart w:id="60" w:name="_Toc15377217"/>
      <w:bookmarkStart w:id="61" w:name="_Toc146616495"/>
      <w:r>
        <w:rPr>
          <w:rFonts w:hint="eastAsia" w:ascii="仿宋" w:hAnsi="仿宋" w:eastAsia="仿宋"/>
          <w:b/>
          <w:szCs w:val="32"/>
        </w:rPr>
        <w:t>（二）“三公”经费财政拨款支出决算具体情况说明</w:t>
      </w:r>
      <w:bookmarkEnd w:id="60"/>
      <w:bookmarkEnd w:id="61"/>
    </w:p>
    <w:p>
      <w:pPr>
        <w:spacing w:line="576" w:lineRule="exact"/>
        <w:ind w:firstLine="640"/>
        <w:rPr>
          <w:rFonts w:ascii="仿宋_GB2312" w:hAnsi="仿宋"/>
          <w:szCs w:val="32"/>
        </w:rPr>
      </w:pPr>
      <w:r>
        <w:rPr>
          <w:rFonts w:hint="eastAsia" w:ascii="仿宋_GB2312" w:hAnsi="仿宋"/>
          <w:szCs w:val="32"/>
        </w:rPr>
        <w:t>202</w:t>
      </w:r>
      <w:r>
        <w:rPr>
          <w:rFonts w:ascii="仿宋_GB2312" w:hAnsi="仿宋"/>
          <w:szCs w:val="32"/>
        </w:rPr>
        <w:t>3</w:t>
      </w:r>
      <w:r>
        <w:rPr>
          <w:rFonts w:hint="eastAsia" w:ascii="仿宋_GB2312" w:hAnsi="仿宋"/>
          <w:szCs w:val="32"/>
        </w:rPr>
        <w:t>年“三公”经费财政拨款支出决算中，因公出国（境）费支出决算0万元；公务用车购置及运行维护费支出决算</w:t>
      </w:r>
      <w:r>
        <w:rPr>
          <w:rFonts w:ascii="仿宋_GB2312" w:hAnsi="仿宋"/>
          <w:szCs w:val="32"/>
        </w:rPr>
        <w:t>3.38</w:t>
      </w:r>
      <w:r>
        <w:rPr>
          <w:rFonts w:hint="eastAsia" w:ascii="仿宋_GB2312" w:hAnsi="仿宋"/>
          <w:szCs w:val="32"/>
        </w:rPr>
        <w:t>万元，占9</w:t>
      </w:r>
      <w:r>
        <w:rPr>
          <w:rFonts w:ascii="仿宋_GB2312" w:hAnsi="仿宋"/>
          <w:szCs w:val="32"/>
        </w:rPr>
        <w:t>1.4</w:t>
      </w:r>
      <w:r>
        <w:rPr>
          <w:rFonts w:hint="eastAsia" w:ascii="仿宋_GB2312" w:hAnsi="仿宋"/>
          <w:szCs w:val="32"/>
        </w:rPr>
        <w:t>%；公务接待费支出决算0.</w:t>
      </w:r>
      <w:r>
        <w:rPr>
          <w:rFonts w:ascii="仿宋_GB2312" w:hAnsi="仿宋"/>
          <w:szCs w:val="32"/>
        </w:rPr>
        <w:t>32</w:t>
      </w:r>
      <w:r>
        <w:rPr>
          <w:rFonts w:hint="eastAsia" w:ascii="仿宋_GB2312" w:hAnsi="仿宋"/>
          <w:szCs w:val="32"/>
        </w:rPr>
        <w:t>万元，占8</w:t>
      </w:r>
      <w:r>
        <w:rPr>
          <w:rFonts w:ascii="仿宋_GB2312" w:hAnsi="仿宋"/>
          <w:szCs w:val="32"/>
        </w:rPr>
        <w:t>.6</w:t>
      </w:r>
      <w:r>
        <w:rPr>
          <w:rFonts w:hint="eastAsia" w:ascii="仿宋_GB2312" w:hAnsi="仿宋"/>
          <w:szCs w:val="32"/>
        </w:rPr>
        <w:t>%。具体情况如下：</w:t>
      </w:r>
    </w:p>
    <w:p>
      <w:pPr>
        <w:pStyle w:val="2"/>
        <w:spacing w:before="93"/>
      </w:pPr>
      <w:r>
        <w:rPr>
          <w:rFonts w:hint="eastAsia"/>
        </w:rPr>
        <w:drawing>
          <wp:inline distT="0" distB="0" distL="0" distR="0">
            <wp:extent cx="5274310" cy="3076575"/>
            <wp:effectExtent l="0" t="0" r="2540"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576" w:lineRule="exact"/>
        <w:jc w:val="center"/>
        <w:rPr>
          <w:rFonts w:ascii="仿宋_GB2312" w:hAnsi="仿宋"/>
          <w:szCs w:val="32"/>
        </w:rPr>
      </w:pPr>
      <w:r>
        <w:rPr>
          <w:rFonts w:hint="eastAsia" w:ascii="仿宋_GB2312" w:hAnsi="仿宋"/>
          <w:szCs w:val="32"/>
        </w:rPr>
        <w:t>（图7：“三公”经费财政拨款支出结构）</w:t>
      </w:r>
    </w:p>
    <w:p>
      <w:pPr>
        <w:spacing w:line="576" w:lineRule="exact"/>
        <w:ind w:firstLine="640"/>
        <w:rPr>
          <w:rFonts w:ascii="仿宋_GB2312"/>
          <w:b/>
          <w:szCs w:val="32"/>
        </w:rPr>
      </w:pPr>
      <w:r>
        <w:rPr>
          <w:rFonts w:hint="eastAsia" w:ascii="仿宋_GB2312"/>
          <w:b/>
          <w:szCs w:val="32"/>
        </w:rPr>
        <w:t>1.因公出国（境）经费支出</w:t>
      </w:r>
      <w:r>
        <w:rPr>
          <w:rFonts w:hint="eastAsia" w:ascii="仿宋_GB2312"/>
          <w:szCs w:val="32"/>
        </w:rPr>
        <w:t>0万元，</w:t>
      </w:r>
      <w:r>
        <w:rPr>
          <w:rStyle w:val="20"/>
          <w:rFonts w:hint="eastAsia" w:ascii="仿宋_GB2312" w:hAnsi="仿宋"/>
          <w:b w:val="0"/>
          <w:bCs/>
          <w:szCs w:val="32"/>
        </w:rPr>
        <w:t>年初未安排预算，较202</w:t>
      </w:r>
      <w:r>
        <w:rPr>
          <w:rStyle w:val="20"/>
          <w:rFonts w:ascii="仿宋_GB2312" w:hAnsi="仿宋"/>
          <w:b w:val="0"/>
          <w:bCs/>
          <w:szCs w:val="32"/>
        </w:rPr>
        <w:t>2</w:t>
      </w:r>
      <w:r>
        <w:rPr>
          <w:rStyle w:val="20"/>
          <w:rFonts w:hint="eastAsia" w:ascii="仿宋_GB2312" w:hAnsi="仿宋"/>
          <w:b w:val="0"/>
          <w:bCs/>
          <w:szCs w:val="32"/>
        </w:rPr>
        <w:t>年无变化</w:t>
      </w:r>
      <w:r>
        <w:rPr>
          <w:rFonts w:hint="eastAsia" w:ascii="仿宋_GB2312"/>
          <w:szCs w:val="32"/>
        </w:rPr>
        <w:t>。</w:t>
      </w:r>
    </w:p>
    <w:p>
      <w:pPr>
        <w:spacing w:line="576" w:lineRule="exact"/>
        <w:ind w:firstLine="640"/>
        <w:rPr>
          <w:rFonts w:ascii="仿宋_GB2312"/>
          <w:b/>
          <w:szCs w:val="32"/>
        </w:rPr>
      </w:pPr>
      <w:r>
        <w:rPr>
          <w:rFonts w:hint="eastAsia" w:ascii="仿宋_GB2312"/>
          <w:b/>
          <w:szCs w:val="32"/>
        </w:rPr>
        <w:t>2.公务用车购置及运行维护费支出</w:t>
      </w:r>
      <w:r>
        <w:rPr>
          <w:rFonts w:hint="eastAsia" w:ascii="仿宋_GB2312" w:hAnsi="仿宋"/>
          <w:szCs w:val="32"/>
        </w:rPr>
        <w:t>3.</w:t>
      </w:r>
      <w:r>
        <w:rPr>
          <w:rFonts w:ascii="仿宋_GB2312" w:hAnsi="仿宋"/>
          <w:szCs w:val="32"/>
        </w:rPr>
        <w:t>38</w:t>
      </w:r>
      <w:r>
        <w:rPr>
          <w:rFonts w:hint="eastAsia" w:ascii="仿宋_GB2312"/>
          <w:szCs w:val="32"/>
        </w:rPr>
        <w:t>万元，</w:t>
      </w:r>
      <w:r>
        <w:rPr>
          <w:rStyle w:val="20"/>
          <w:rFonts w:hint="eastAsia" w:ascii="仿宋_GB2312" w:hAnsi="仿宋"/>
          <w:b w:val="0"/>
          <w:bCs/>
          <w:szCs w:val="32"/>
        </w:rPr>
        <w:t>完成预算</w:t>
      </w:r>
      <w:r>
        <w:rPr>
          <w:rStyle w:val="20"/>
          <w:rFonts w:ascii="仿宋_GB2312" w:hAnsi="仿宋"/>
          <w:b w:val="0"/>
          <w:bCs/>
          <w:szCs w:val="32"/>
        </w:rPr>
        <w:t>100</w:t>
      </w:r>
      <w:r>
        <w:rPr>
          <w:rStyle w:val="20"/>
          <w:rFonts w:hint="eastAsia" w:ascii="仿宋_GB2312" w:hAnsi="仿宋"/>
          <w:b w:val="0"/>
          <w:bCs/>
          <w:szCs w:val="32"/>
        </w:rPr>
        <w:t>%。</w:t>
      </w:r>
      <w:r>
        <w:rPr>
          <w:rFonts w:hint="eastAsia" w:ascii="仿宋_GB2312"/>
          <w:szCs w:val="32"/>
        </w:rPr>
        <w:t>公务用车购置及运行维护费支出决算比202</w:t>
      </w:r>
      <w:r>
        <w:rPr>
          <w:rFonts w:ascii="仿宋_GB2312"/>
          <w:szCs w:val="32"/>
        </w:rPr>
        <w:t>2</w:t>
      </w:r>
      <w:r>
        <w:rPr>
          <w:rFonts w:hint="eastAsia" w:ascii="仿宋_GB2312"/>
          <w:szCs w:val="32"/>
        </w:rPr>
        <w:t>年减少</w:t>
      </w:r>
      <w:r>
        <w:rPr>
          <w:rFonts w:ascii="仿宋_GB2312"/>
          <w:szCs w:val="32"/>
        </w:rPr>
        <w:t>0.38</w:t>
      </w:r>
      <w:r>
        <w:rPr>
          <w:rFonts w:hint="eastAsia" w:ascii="仿宋_GB2312"/>
          <w:szCs w:val="32"/>
        </w:rPr>
        <w:t>万元，下降</w:t>
      </w:r>
      <w:r>
        <w:rPr>
          <w:rFonts w:ascii="仿宋_GB2312"/>
          <w:szCs w:val="32"/>
        </w:rPr>
        <w:t>10.1</w:t>
      </w:r>
      <w:r>
        <w:rPr>
          <w:rFonts w:hint="eastAsia" w:ascii="仿宋_GB2312"/>
          <w:szCs w:val="32"/>
        </w:rPr>
        <w:t>%。主要原因是</w:t>
      </w:r>
      <w:r>
        <w:rPr>
          <w:rFonts w:hint="eastAsia" w:ascii="仿宋_GB2312" w:hAnsi="仿宋"/>
          <w:szCs w:val="32"/>
        </w:rPr>
        <w:t>本部门始终</w:t>
      </w:r>
      <w:r>
        <w:rPr>
          <w:rFonts w:hint="eastAsia" w:ascii="仿宋_GB2312" w:hAnsi="仿宋"/>
          <w:color w:val="000000"/>
          <w:szCs w:val="32"/>
        </w:rPr>
        <w:t>不折不扣落实“过紧日子”要求，减少公务用车次数</w:t>
      </w:r>
      <w:r>
        <w:rPr>
          <w:rFonts w:hint="eastAsia" w:ascii="仿宋_GB2312"/>
          <w:szCs w:val="32"/>
        </w:rPr>
        <w:t>。</w:t>
      </w:r>
    </w:p>
    <w:p>
      <w:pPr>
        <w:spacing w:line="576" w:lineRule="exact"/>
        <w:ind w:firstLine="640" w:firstLineChars="200"/>
        <w:rPr>
          <w:rFonts w:ascii="仿宋_GB2312"/>
          <w:b/>
          <w:szCs w:val="32"/>
        </w:rPr>
      </w:pPr>
      <w:r>
        <w:rPr>
          <w:rFonts w:hint="eastAsia" w:ascii="仿宋_GB2312"/>
          <w:szCs w:val="32"/>
        </w:rPr>
        <w:t>其中：</w:t>
      </w:r>
      <w:r>
        <w:rPr>
          <w:rFonts w:hint="eastAsia" w:ascii="仿宋_GB2312"/>
          <w:b/>
          <w:szCs w:val="32"/>
        </w:rPr>
        <w:t>公务用车购置支出</w:t>
      </w:r>
      <w:r>
        <w:rPr>
          <w:rFonts w:hint="eastAsia" w:ascii="仿宋_GB2312"/>
          <w:szCs w:val="32"/>
        </w:rPr>
        <w:t>0万元。截至202</w:t>
      </w:r>
      <w:r>
        <w:rPr>
          <w:rFonts w:ascii="仿宋_GB2312"/>
          <w:szCs w:val="32"/>
        </w:rPr>
        <w:t>3</w:t>
      </w:r>
      <w:r>
        <w:rPr>
          <w:rFonts w:hint="eastAsia" w:ascii="仿宋_GB2312"/>
          <w:szCs w:val="32"/>
        </w:rPr>
        <w:t>年12月底，单位共有公务用车1辆，其中：越野车1辆。</w:t>
      </w:r>
    </w:p>
    <w:p>
      <w:pPr>
        <w:spacing w:line="576" w:lineRule="exact"/>
        <w:ind w:firstLine="640"/>
        <w:rPr>
          <w:rFonts w:ascii="仿宋_GB2312"/>
          <w:szCs w:val="32"/>
        </w:rPr>
      </w:pPr>
      <w:r>
        <w:rPr>
          <w:rFonts w:hint="eastAsia" w:ascii="仿宋_GB2312"/>
          <w:b/>
          <w:szCs w:val="32"/>
        </w:rPr>
        <w:t>公务用车运行维护费支出</w:t>
      </w:r>
      <w:r>
        <w:rPr>
          <w:rFonts w:ascii="仿宋_GB2312"/>
          <w:szCs w:val="32"/>
        </w:rPr>
        <w:t>3.38</w:t>
      </w:r>
      <w:r>
        <w:rPr>
          <w:rFonts w:hint="eastAsia" w:ascii="仿宋_GB2312"/>
          <w:szCs w:val="32"/>
        </w:rPr>
        <w:t>万元。主要用于日常公务活动中产生的公务用车燃料费、维修费、过路过桥费、保险费等支出。</w:t>
      </w:r>
    </w:p>
    <w:p>
      <w:pPr>
        <w:spacing w:line="576" w:lineRule="exact"/>
        <w:ind w:firstLine="640"/>
        <w:rPr>
          <w:rFonts w:ascii="仿宋_GB2312"/>
          <w:szCs w:val="32"/>
        </w:rPr>
      </w:pPr>
      <w:r>
        <w:rPr>
          <w:rFonts w:hint="eastAsia" w:ascii="仿宋_GB2312"/>
          <w:b/>
          <w:szCs w:val="32"/>
        </w:rPr>
        <w:t>3.公务接待费支出</w:t>
      </w:r>
      <w:r>
        <w:rPr>
          <w:rFonts w:hint="eastAsia" w:ascii="仿宋_GB2312"/>
          <w:szCs w:val="32"/>
        </w:rPr>
        <w:t>0.</w:t>
      </w:r>
      <w:r>
        <w:rPr>
          <w:rFonts w:ascii="仿宋_GB2312"/>
          <w:szCs w:val="32"/>
        </w:rPr>
        <w:t>3</w:t>
      </w:r>
      <w:r>
        <w:rPr>
          <w:rFonts w:hint="eastAsia" w:ascii="仿宋_GB2312"/>
          <w:szCs w:val="32"/>
        </w:rPr>
        <w:t>2万元，</w:t>
      </w:r>
      <w:r>
        <w:rPr>
          <w:rStyle w:val="20"/>
          <w:rFonts w:hint="eastAsia" w:ascii="仿宋_GB2312" w:hAnsi="仿宋"/>
          <w:b w:val="0"/>
          <w:bCs/>
          <w:szCs w:val="32"/>
        </w:rPr>
        <w:t>完成预算1</w:t>
      </w:r>
      <w:r>
        <w:rPr>
          <w:rStyle w:val="20"/>
          <w:rFonts w:ascii="仿宋_GB2312" w:hAnsi="仿宋"/>
          <w:b w:val="0"/>
          <w:bCs/>
          <w:szCs w:val="32"/>
        </w:rPr>
        <w:t>00</w:t>
      </w:r>
      <w:r>
        <w:rPr>
          <w:rStyle w:val="20"/>
          <w:rFonts w:hint="eastAsia" w:ascii="仿宋_GB2312" w:hAnsi="仿宋"/>
          <w:b w:val="0"/>
          <w:bCs/>
          <w:szCs w:val="32"/>
        </w:rPr>
        <w:t>%。</w:t>
      </w:r>
      <w:r>
        <w:rPr>
          <w:rFonts w:hint="eastAsia" w:ascii="仿宋_GB2312"/>
          <w:szCs w:val="32"/>
        </w:rPr>
        <w:t>公务接待费支出决算比202</w:t>
      </w:r>
      <w:r>
        <w:rPr>
          <w:rFonts w:ascii="仿宋_GB2312"/>
          <w:szCs w:val="32"/>
        </w:rPr>
        <w:t>2</w:t>
      </w:r>
      <w:r>
        <w:rPr>
          <w:rFonts w:hint="eastAsia" w:ascii="仿宋_GB2312"/>
          <w:szCs w:val="32"/>
        </w:rPr>
        <w:t>年度增加0.</w:t>
      </w:r>
      <w:r>
        <w:rPr>
          <w:rFonts w:ascii="仿宋_GB2312"/>
          <w:szCs w:val="32"/>
        </w:rPr>
        <w:t>12</w:t>
      </w:r>
      <w:r>
        <w:rPr>
          <w:rFonts w:hint="eastAsia" w:ascii="仿宋_GB2312"/>
          <w:szCs w:val="32"/>
        </w:rPr>
        <w:t>万元，增长</w:t>
      </w:r>
      <w:r>
        <w:rPr>
          <w:rFonts w:ascii="仿宋_GB2312"/>
          <w:szCs w:val="32"/>
        </w:rPr>
        <w:t>60</w:t>
      </w:r>
      <w:r>
        <w:rPr>
          <w:rFonts w:hint="eastAsia" w:ascii="仿宋_GB2312"/>
          <w:szCs w:val="32"/>
        </w:rPr>
        <w:t>%。主要原因是重点工作增加。其中：</w:t>
      </w:r>
    </w:p>
    <w:p>
      <w:pPr>
        <w:spacing w:line="576" w:lineRule="exact"/>
        <w:ind w:firstLine="640"/>
        <w:rPr>
          <w:rFonts w:ascii="仿宋_GB2312"/>
          <w:szCs w:val="32"/>
        </w:rPr>
      </w:pPr>
      <w:r>
        <w:rPr>
          <w:rFonts w:hint="eastAsia" w:ascii="仿宋_GB2312" w:hAnsi="仿宋"/>
          <w:b/>
          <w:szCs w:val="32"/>
        </w:rPr>
        <w:t>国内公务接待支出</w:t>
      </w:r>
      <w:r>
        <w:rPr>
          <w:rFonts w:hint="eastAsia" w:ascii="仿宋_GB2312" w:hAnsi="仿宋"/>
          <w:szCs w:val="32"/>
        </w:rPr>
        <w:t>0.</w:t>
      </w:r>
      <w:r>
        <w:rPr>
          <w:rFonts w:ascii="仿宋_GB2312" w:hAnsi="仿宋"/>
          <w:szCs w:val="32"/>
        </w:rPr>
        <w:t>3</w:t>
      </w:r>
      <w:r>
        <w:rPr>
          <w:rFonts w:hint="eastAsia" w:ascii="仿宋_GB2312" w:hAnsi="仿宋"/>
          <w:szCs w:val="32"/>
        </w:rPr>
        <w:t>2</w:t>
      </w:r>
      <w:r>
        <w:rPr>
          <w:rFonts w:hint="eastAsia" w:ascii="仿宋_GB2312"/>
          <w:szCs w:val="32"/>
        </w:rPr>
        <w:t>万元，主要用于执行公务、开展业务活动开支的交通费、住宿费、用餐费等。国内公务接待</w:t>
      </w:r>
      <w:r>
        <w:rPr>
          <w:rFonts w:ascii="仿宋_GB2312"/>
          <w:szCs w:val="32"/>
        </w:rPr>
        <w:t>3</w:t>
      </w:r>
      <w:r>
        <w:rPr>
          <w:rFonts w:hint="eastAsia" w:ascii="仿宋_GB2312"/>
          <w:szCs w:val="32"/>
        </w:rPr>
        <w:t>批次，</w:t>
      </w:r>
      <w:r>
        <w:rPr>
          <w:rFonts w:ascii="仿宋_GB2312"/>
          <w:szCs w:val="32"/>
        </w:rPr>
        <w:t>25</w:t>
      </w:r>
      <w:r>
        <w:rPr>
          <w:rFonts w:hint="eastAsia" w:ascii="仿宋_GB2312"/>
          <w:szCs w:val="32"/>
        </w:rPr>
        <w:t>人（不包括陪同人员），共计支出0.</w:t>
      </w:r>
      <w:r>
        <w:rPr>
          <w:rFonts w:ascii="仿宋_GB2312"/>
          <w:szCs w:val="32"/>
        </w:rPr>
        <w:t>32</w:t>
      </w:r>
      <w:r>
        <w:rPr>
          <w:rFonts w:hint="eastAsia" w:ascii="仿宋_GB2312"/>
          <w:szCs w:val="32"/>
        </w:rPr>
        <w:t>万元，具体内容包括：（1）接待遂宁市国资委一行来广考察接待费用0</w:t>
      </w:r>
      <w:r>
        <w:rPr>
          <w:rFonts w:ascii="仿宋_GB2312"/>
          <w:szCs w:val="32"/>
        </w:rPr>
        <w:t>.12</w:t>
      </w:r>
      <w:r>
        <w:rPr>
          <w:rFonts w:hint="eastAsia" w:ascii="仿宋_GB2312"/>
          <w:szCs w:val="32"/>
        </w:rPr>
        <w:t>万元；（2）接待剑阁县普安镇白虎村村委会开展党支部结对共建相关事宜接待费用0.1万元；（3）接待苍溪县国有资产和金融事务中心工作交流学习接待费0.1万元。</w:t>
      </w:r>
    </w:p>
    <w:p>
      <w:pPr>
        <w:spacing w:line="576" w:lineRule="exact"/>
        <w:ind w:firstLine="642" w:firstLineChars="200"/>
        <w:rPr>
          <w:rFonts w:ascii="仿宋_GB2312"/>
          <w:szCs w:val="32"/>
        </w:rPr>
      </w:pPr>
      <w:r>
        <w:rPr>
          <w:rFonts w:hint="eastAsia" w:ascii="仿宋_GB2312" w:hAnsi="仿宋"/>
          <w:b/>
          <w:szCs w:val="32"/>
        </w:rPr>
        <w:t>外事接待支出</w:t>
      </w:r>
      <w:r>
        <w:rPr>
          <w:rFonts w:hint="eastAsia" w:ascii="仿宋_GB2312" w:hAnsi="仿宋"/>
          <w:szCs w:val="32"/>
        </w:rPr>
        <w:t>0</w:t>
      </w:r>
      <w:r>
        <w:rPr>
          <w:rFonts w:hint="eastAsia" w:ascii="仿宋_GB2312"/>
          <w:szCs w:val="32"/>
        </w:rPr>
        <w:t>万元。</w:t>
      </w:r>
      <w:bookmarkStart w:id="62" w:name="_Toc15396610"/>
      <w:bookmarkStart w:id="63" w:name="_Toc15377218"/>
    </w:p>
    <w:p>
      <w:pPr>
        <w:spacing w:line="576" w:lineRule="exact"/>
        <w:ind w:firstLine="640"/>
        <w:outlineLvl w:val="1"/>
        <w:rPr>
          <w:rStyle w:val="33"/>
          <w:rFonts w:ascii="黑体" w:hAnsi="黑体" w:eastAsia="黑体"/>
        </w:rPr>
      </w:pPr>
      <w:bookmarkStart w:id="64" w:name="_Toc146616496"/>
      <w:r>
        <w:rPr>
          <w:rFonts w:hint="eastAsia" w:ascii="黑体" w:eastAsia="黑体"/>
          <w:szCs w:val="32"/>
        </w:rPr>
        <w:t>八、</w:t>
      </w:r>
      <w:r>
        <w:rPr>
          <w:rStyle w:val="33"/>
          <w:rFonts w:hint="eastAsia" w:ascii="黑体" w:hAnsi="黑体" w:eastAsia="黑体"/>
          <w:b w:val="0"/>
        </w:rPr>
        <w:t>政府性基金预算支出决算情况说明</w:t>
      </w:r>
      <w:bookmarkEnd w:id="62"/>
      <w:bookmarkEnd w:id="63"/>
      <w:bookmarkEnd w:id="64"/>
    </w:p>
    <w:p>
      <w:pPr>
        <w:spacing w:line="576" w:lineRule="exact"/>
        <w:ind w:firstLine="640"/>
        <w:rPr>
          <w:rFonts w:ascii="仿宋_GB2312"/>
          <w:szCs w:val="32"/>
        </w:rPr>
      </w:pPr>
      <w:r>
        <w:rPr>
          <w:rFonts w:ascii="仿宋_GB2312"/>
          <w:szCs w:val="32"/>
        </w:rPr>
        <w:t>20</w:t>
      </w:r>
      <w:r>
        <w:rPr>
          <w:rFonts w:hint="eastAsia" w:ascii="仿宋_GB2312"/>
          <w:szCs w:val="32"/>
        </w:rPr>
        <w:t>2</w:t>
      </w:r>
      <w:r>
        <w:rPr>
          <w:rFonts w:ascii="仿宋_GB2312"/>
          <w:szCs w:val="32"/>
        </w:rPr>
        <w:t>3</w:t>
      </w:r>
      <w:r>
        <w:rPr>
          <w:rFonts w:hint="eastAsia" w:ascii="仿宋_GB2312"/>
          <w:szCs w:val="32"/>
        </w:rPr>
        <w:t>年政府性基金预算财政拨款支出</w:t>
      </w:r>
      <w:r>
        <w:rPr>
          <w:rFonts w:ascii="仿宋_GB2312"/>
          <w:szCs w:val="32"/>
        </w:rPr>
        <w:t>19636.58</w:t>
      </w:r>
      <w:r>
        <w:rPr>
          <w:rFonts w:hint="eastAsia" w:ascii="仿宋_GB2312"/>
          <w:szCs w:val="32"/>
        </w:rPr>
        <w:t>万元。</w:t>
      </w:r>
    </w:p>
    <w:p>
      <w:pPr>
        <w:numPr>
          <w:ilvl w:val="0"/>
          <w:numId w:val="3"/>
        </w:numPr>
        <w:spacing w:line="576" w:lineRule="exact"/>
        <w:ind w:firstLine="640"/>
        <w:outlineLvl w:val="1"/>
        <w:rPr>
          <w:rStyle w:val="33"/>
          <w:rFonts w:ascii="黑体" w:hAnsi="黑体" w:eastAsia="黑体"/>
          <w:b w:val="0"/>
        </w:rPr>
      </w:pPr>
      <w:bookmarkStart w:id="65" w:name="_Toc146616497"/>
      <w:bookmarkStart w:id="66" w:name="_Toc15377219"/>
      <w:bookmarkStart w:id="67" w:name="_Toc15396611"/>
      <w:r>
        <w:rPr>
          <w:rStyle w:val="33"/>
          <w:rFonts w:hint="eastAsia" w:ascii="黑体" w:hAnsi="黑体" w:eastAsia="黑体"/>
          <w:b w:val="0"/>
        </w:rPr>
        <w:t>国有资本经营预算支出决算情况说明</w:t>
      </w:r>
      <w:bookmarkEnd w:id="65"/>
      <w:bookmarkEnd w:id="66"/>
      <w:bookmarkEnd w:id="67"/>
    </w:p>
    <w:p>
      <w:pPr>
        <w:spacing w:line="576" w:lineRule="exact"/>
        <w:ind w:firstLine="640"/>
        <w:rPr>
          <w:rFonts w:ascii="仿宋_GB2312"/>
          <w:szCs w:val="32"/>
        </w:rPr>
      </w:pPr>
      <w:r>
        <w:rPr>
          <w:rFonts w:ascii="仿宋_GB2312"/>
          <w:szCs w:val="32"/>
        </w:rPr>
        <w:t>20</w:t>
      </w:r>
      <w:r>
        <w:rPr>
          <w:rFonts w:hint="eastAsia" w:ascii="仿宋_GB2312"/>
          <w:szCs w:val="32"/>
        </w:rPr>
        <w:t>2</w:t>
      </w:r>
      <w:r>
        <w:rPr>
          <w:rFonts w:ascii="仿宋_GB2312"/>
          <w:szCs w:val="32"/>
        </w:rPr>
        <w:t>3</w:t>
      </w:r>
      <w:r>
        <w:rPr>
          <w:rFonts w:hint="eastAsia" w:ascii="仿宋_GB2312"/>
          <w:szCs w:val="32"/>
        </w:rPr>
        <w:t>年国有资本经营预算财政拨款支出</w:t>
      </w:r>
      <w:r>
        <w:rPr>
          <w:rFonts w:ascii="仿宋_GB2312"/>
          <w:szCs w:val="32"/>
        </w:rPr>
        <w:t>0</w:t>
      </w:r>
      <w:r>
        <w:rPr>
          <w:rFonts w:hint="eastAsia" w:ascii="仿宋_GB2312"/>
          <w:szCs w:val="32"/>
        </w:rPr>
        <w:t>万元。</w:t>
      </w:r>
    </w:p>
    <w:p>
      <w:pPr>
        <w:numPr>
          <w:ilvl w:val="0"/>
          <w:numId w:val="3"/>
        </w:numPr>
        <w:spacing w:line="576" w:lineRule="exact"/>
        <w:ind w:firstLine="640"/>
        <w:outlineLvl w:val="1"/>
        <w:rPr>
          <w:rStyle w:val="33"/>
          <w:rFonts w:ascii="黑体" w:hAnsi="黑体" w:eastAsia="黑体"/>
          <w:b w:val="0"/>
        </w:rPr>
      </w:pPr>
      <w:bookmarkStart w:id="68" w:name="_Toc15377221"/>
      <w:bookmarkStart w:id="69" w:name="_Toc15396612"/>
      <w:bookmarkStart w:id="70" w:name="_Toc146616498"/>
      <w:r>
        <w:rPr>
          <w:rStyle w:val="33"/>
          <w:rFonts w:hint="eastAsia" w:ascii="黑体" w:hAnsi="黑体" w:eastAsia="黑体"/>
          <w:b w:val="0"/>
        </w:rPr>
        <w:t>其他重要事项的情况说明</w:t>
      </w:r>
      <w:bookmarkEnd w:id="68"/>
      <w:bookmarkEnd w:id="69"/>
      <w:bookmarkEnd w:id="70"/>
    </w:p>
    <w:p>
      <w:pPr>
        <w:spacing w:line="576" w:lineRule="exact"/>
        <w:ind w:firstLine="642" w:firstLineChars="200"/>
        <w:outlineLvl w:val="2"/>
        <w:rPr>
          <w:rFonts w:ascii="仿宋_GB2312" w:hAnsi="仿宋"/>
          <w:szCs w:val="32"/>
        </w:rPr>
      </w:pPr>
      <w:bookmarkStart w:id="71" w:name="_Toc15377222"/>
      <w:bookmarkStart w:id="72" w:name="_Toc146616499"/>
      <w:r>
        <w:rPr>
          <w:rFonts w:hint="eastAsia" w:ascii="仿宋_GB2312" w:hAnsi="仿宋"/>
          <w:b/>
          <w:szCs w:val="32"/>
        </w:rPr>
        <w:t>（一）机关运行经费支出情况</w:t>
      </w:r>
      <w:bookmarkEnd w:id="71"/>
      <w:bookmarkEnd w:id="72"/>
    </w:p>
    <w:p>
      <w:pPr>
        <w:spacing w:line="576" w:lineRule="exact"/>
        <w:ind w:firstLine="640" w:firstLineChars="200"/>
        <w:rPr>
          <w:rFonts w:ascii="仿宋_GB2312"/>
          <w:szCs w:val="32"/>
        </w:rPr>
      </w:pPr>
      <w:r>
        <w:rPr>
          <w:rFonts w:ascii="仿宋_GB2312"/>
          <w:szCs w:val="32"/>
        </w:rPr>
        <w:t>20</w:t>
      </w:r>
      <w:r>
        <w:rPr>
          <w:rFonts w:hint="eastAsia" w:ascii="仿宋_GB2312"/>
          <w:szCs w:val="32"/>
        </w:rPr>
        <w:t>2</w:t>
      </w:r>
      <w:r>
        <w:rPr>
          <w:rFonts w:ascii="仿宋_GB2312"/>
          <w:szCs w:val="32"/>
        </w:rPr>
        <w:t>3</w:t>
      </w:r>
      <w:r>
        <w:rPr>
          <w:rFonts w:hint="eastAsia" w:ascii="仿宋_GB2312"/>
          <w:szCs w:val="32"/>
        </w:rPr>
        <w:t>年，广元市政府国有资产监督管理委员会机关运行经费支出8</w:t>
      </w:r>
      <w:r>
        <w:rPr>
          <w:rFonts w:ascii="仿宋_GB2312"/>
          <w:szCs w:val="32"/>
        </w:rPr>
        <w:t>8.6</w:t>
      </w:r>
      <w:r>
        <w:rPr>
          <w:rFonts w:hint="eastAsia" w:ascii="仿宋_GB2312"/>
          <w:szCs w:val="32"/>
        </w:rPr>
        <w:t>万元，比</w:t>
      </w:r>
      <w:r>
        <w:rPr>
          <w:rFonts w:ascii="仿宋_GB2312"/>
          <w:szCs w:val="32"/>
        </w:rPr>
        <w:t>20</w:t>
      </w:r>
      <w:r>
        <w:rPr>
          <w:rFonts w:hint="eastAsia" w:ascii="仿宋_GB2312"/>
          <w:szCs w:val="32"/>
        </w:rPr>
        <w:t>2</w:t>
      </w:r>
      <w:r>
        <w:rPr>
          <w:rFonts w:ascii="仿宋_GB2312"/>
          <w:szCs w:val="32"/>
        </w:rPr>
        <w:t>2</w:t>
      </w:r>
      <w:r>
        <w:rPr>
          <w:rFonts w:hint="eastAsia" w:ascii="仿宋_GB2312"/>
          <w:szCs w:val="32"/>
        </w:rPr>
        <w:t>年增加</w:t>
      </w:r>
      <w:r>
        <w:rPr>
          <w:rFonts w:ascii="仿宋_GB2312"/>
          <w:szCs w:val="32"/>
        </w:rPr>
        <w:t>3.85</w:t>
      </w:r>
      <w:r>
        <w:rPr>
          <w:rFonts w:hint="eastAsia" w:ascii="仿宋_GB2312"/>
          <w:szCs w:val="32"/>
        </w:rPr>
        <w:t>万元，增长</w:t>
      </w:r>
      <w:r>
        <w:rPr>
          <w:rFonts w:ascii="仿宋_GB2312"/>
          <w:szCs w:val="32"/>
        </w:rPr>
        <w:t>4.4%</w:t>
      </w:r>
      <w:r>
        <w:rPr>
          <w:rFonts w:hint="eastAsia" w:ascii="仿宋_GB2312"/>
          <w:szCs w:val="32"/>
        </w:rPr>
        <w:t>。主要原因是人员增加</w:t>
      </w:r>
      <w:r>
        <w:rPr>
          <w:rFonts w:hint="eastAsia" w:ascii="仿宋_GB2312"/>
          <w:szCs w:val="32"/>
          <w:lang w:eastAsia="zh-CN"/>
        </w:rPr>
        <w:t>，机关运行成本增加</w:t>
      </w:r>
      <w:r>
        <w:rPr>
          <w:rFonts w:hint="eastAsia" w:ascii="仿宋_GB2312"/>
          <w:szCs w:val="32"/>
        </w:rPr>
        <w:t>。</w:t>
      </w:r>
    </w:p>
    <w:p>
      <w:pPr>
        <w:autoSpaceDE w:val="0"/>
        <w:autoSpaceDN w:val="0"/>
        <w:adjustRightInd w:val="0"/>
        <w:spacing w:line="576" w:lineRule="exact"/>
        <w:ind w:firstLine="642" w:firstLineChars="200"/>
        <w:jc w:val="left"/>
        <w:outlineLvl w:val="2"/>
        <w:rPr>
          <w:rFonts w:ascii="仿宋_GB2312" w:hAnsi="仿宋"/>
          <w:b/>
          <w:szCs w:val="32"/>
        </w:rPr>
      </w:pPr>
      <w:bookmarkStart w:id="73" w:name="_Toc146616500"/>
      <w:bookmarkStart w:id="74" w:name="_Toc15377223"/>
      <w:r>
        <w:rPr>
          <w:rFonts w:hint="eastAsia" w:ascii="仿宋_GB2312" w:hAnsi="仿宋"/>
          <w:b/>
          <w:szCs w:val="32"/>
        </w:rPr>
        <w:t>（二）政府采购支出情况</w:t>
      </w:r>
      <w:bookmarkEnd w:id="73"/>
      <w:bookmarkEnd w:id="74"/>
    </w:p>
    <w:p>
      <w:pPr>
        <w:spacing w:line="576" w:lineRule="exact"/>
        <w:ind w:firstLine="640" w:firstLineChars="200"/>
        <w:rPr>
          <w:rFonts w:ascii="仿宋_GB2312"/>
          <w:szCs w:val="32"/>
        </w:rPr>
      </w:pPr>
      <w:r>
        <w:rPr>
          <w:rFonts w:ascii="仿宋_GB2312"/>
          <w:szCs w:val="32"/>
        </w:rPr>
        <w:t>20</w:t>
      </w:r>
      <w:r>
        <w:rPr>
          <w:rFonts w:hint="eastAsia" w:ascii="仿宋_GB2312"/>
          <w:szCs w:val="32"/>
        </w:rPr>
        <w:t>22年，广元市政府国有资产监督管理委员会政府采购支出总额</w:t>
      </w:r>
      <w:r>
        <w:rPr>
          <w:rFonts w:ascii="仿宋_GB2312"/>
          <w:szCs w:val="32"/>
        </w:rPr>
        <w:t>4.87</w:t>
      </w:r>
      <w:r>
        <w:rPr>
          <w:rFonts w:hint="eastAsia" w:ascii="仿宋_GB2312"/>
          <w:szCs w:val="32"/>
        </w:rPr>
        <w:t>万元，其中：政府采购货物支出</w:t>
      </w:r>
      <w:r>
        <w:rPr>
          <w:rFonts w:ascii="仿宋_GB2312"/>
          <w:szCs w:val="32"/>
        </w:rPr>
        <w:t>4.87</w:t>
      </w:r>
      <w:r>
        <w:rPr>
          <w:rFonts w:hint="eastAsia" w:ascii="仿宋_GB2312"/>
          <w:szCs w:val="32"/>
        </w:rPr>
        <w:t>万元，主要用于购买笔记本电脑、密码柜等。授予中小企业合同金额</w:t>
      </w:r>
      <w:r>
        <w:rPr>
          <w:rFonts w:ascii="仿宋_GB2312"/>
          <w:szCs w:val="32"/>
        </w:rPr>
        <w:t>4.87</w:t>
      </w:r>
      <w:r>
        <w:rPr>
          <w:rFonts w:hint="eastAsia" w:ascii="仿宋_GB2312"/>
          <w:szCs w:val="32"/>
        </w:rPr>
        <w:t>万元，占政府采购支出总额的</w:t>
      </w:r>
      <w:r>
        <w:rPr>
          <w:rFonts w:ascii="仿宋_GB2312"/>
          <w:szCs w:val="32"/>
        </w:rPr>
        <w:t>100%</w:t>
      </w:r>
      <w:r>
        <w:rPr>
          <w:rFonts w:hint="eastAsia" w:ascii="仿宋_GB2312"/>
          <w:szCs w:val="32"/>
        </w:rPr>
        <w:t>，其中：授予小微企业合同金额</w:t>
      </w:r>
      <w:r>
        <w:rPr>
          <w:rFonts w:ascii="仿宋_GB2312"/>
          <w:szCs w:val="32"/>
        </w:rPr>
        <w:t>4.87</w:t>
      </w:r>
      <w:r>
        <w:rPr>
          <w:rFonts w:hint="eastAsia" w:ascii="仿宋_GB2312"/>
          <w:szCs w:val="32"/>
        </w:rPr>
        <w:t>万元，占政府采购支出总额的</w:t>
      </w:r>
      <w:r>
        <w:rPr>
          <w:rFonts w:ascii="仿宋_GB2312"/>
          <w:szCs w:val="32"/>
        </w:rPr>
        <w:t>100%</w:t>
      </w:r>
      <w:r>
        <w:rPr>
          <w:rFonts w:hint="eastAsia" w:ascii="仿宋_GB2312"/>
          <w:szCs w:val="32"/>
        </w:rPr>
        <w:t>。</w:t>
      </w:r>
      <w:bookmarkStart w:id="75" w:name="_Toc15377224"/>
    </w:p>
    <w:p>
      <w:pPr>
        <w:spacing w:line="576" w:lineRule="exact"/>
        <w:ind w:firstLine="642" w:firstLineChars="200"/>
        <w:rPr>
          <w:rFonts w:ascii="仿宋" w:hAnsi="仿宋" w:eastAsia="仿宋"/>
          <w:b/>
          <w:szCs w:val="32"/>
        </w:rPr>
      </w:pPr>
      <w:r>
        <w:rPr>
          <w:rFonts w:hint="eastAsia" w:ascii="仿宋" w:hAnsi="仿宋" w:eastAsia="仿宋"/>
          <w:b/>
          <w:szCs w:val="32"/>
        </w:rPr>
        <w:t>（三）国有资产占有使用情况</w:t>
      </w:r>
      <w:bookmarkEnd w:id="75"/>
    </w:p>
    <w:p>
      <w:pPr>
        <w:autoSpaceDE w:val="0"/>
        <w:autoSpaceDN w:val="0"/>
        <w:adjustRightInd w:val="0"/>
        <w:spacing w:line="576" w:lineRule="exact"/>
        <w:ind w:firstLine="640" w:firstLineChars="200"/>
        <w:jc w:val="left"/>
        <w:rPr>
          <w:rFonts w:ascii="仿宋_GB2312"/>
          <w:szCs w:val="32"/>
        </w:rPr>
      </w:pPr>
      <w:r>
        <w:rPr>
          <w:rFonts w:hint="eastAsia" w:ascii="仿宋_GB2312"/>
          <w:szCs w:val="32"/>
        </w:rPr>
        <w:t>截至</w:t>
      </w:r>
      <w:r>
        <w:rPr>
          <w:rFonts w:ascii="仿宋_GB2312"/>
          <w:szCs w:val="32"/>
        </w:rPr>
        <w:t>20</w:t>
      </w:r>
      <w:r>
        <w:rPr>
          <w:rFonts w:hint="eastAsia" w:ascii="仿宋_GB2312"/>
          <w:szCs w:val="32"/>
        </w:rPr>
        <w:t>2</w:t>
      </w:r>
      <w:r>
        <w:rPr>
          <w:rFonts w:ascii="仿宋_GB2312"/>
          <w:szCs w:val="32"/>
        </w:rPr>
        <w:t>3</w:t>
      </w:r>
      <w:r>
        <w:rPr>
          <w:rFonts w:hint="eastAsia" w:ascii="仿宋_GB2312"/>
          <w:szCs w:val="32"/>
        </w:rPr>
        <w:t>年</w:t>
      </w:r>
      <w:r>
        <w:rPr>
          <w:rFonts w:ascii="仿宋_GB2312"/>
          <w:szCs w:val="32"/>
        </w:rPr>
        <w:t>12</w:t>
      </w:r>
      <w:r>
        <w:rPr>
          <w:rFonts w:hint="eastAsia" w:ascii="仿宋_GB2312"/>
          <w:szCs w:val="32"/>
        </w:rPr>
        <w:t>月</w:t>
      </w:r>
      <w:r>
        <w:rPr>
          <w:rFonts w:ascii="仿宋_GB2312"/>
          <w:szCs w:val="32"/>
        </w:rPr>
        <w:t>31</w:t>
      </w:r>
      <w:r>
        <w:rPr>
          <w:rFonts w:hint="eastAsia" w:ascii="仿宋_GB2312"/>
          <w:szCs w:val="32"/>
        </w:rPr>
        <w:t>日，广元市政府国有资产监督管理委员会共有车辆</w:t>
      </w:r>
      <w:r>
        <w:rPr>
          <w:rFonts w:ascii="仿宋_GB2312"/>
          <w:szCs w:val="32"/>
        </w:rPr>
        <w:t>1</w:t>
      </w:r>
      <w:r>
        <w:rPr>
          <w:rFonts w:hint="eastAsia" w:ascii="仿宋_GB2312"/>
          <w:szCs w:val="32"/>
        </w:rPr>
        <w:t>辆，其中：其他用车</w:t>
      </w:r>
      <w:r>
        <w:rPr>
          <w:rFonts w:ascii="仿宋_GB2312"/>
          <w:szCs w:val="32"/>
        </w:rPr>
        <w:t>1</w:t>
      </w:r>
      <w:r>
        <w:rPr>
          <w:rFonts w:hint="eastAsia" w:ascii="仿宋_GB2312"/>
          <w:szCs w:val="32"/>
        </w:rPr>
        <w:t>辆，主要是用于单位日常出行。单价</w:t>
      </w:r>
      <w:r>
        <w:rPr>
          <w:rFonts w:ascii="仿宋_GB2312"/>
          <w:szCs w:val="32"/>
        </w:rPr>
        <w:t>100</w:t>
      </w:r>
      <w:r>
        <w:rPr>
          <w:rFonts w:hint="eastAsia" w:ascii="仿宋_GB2312"/>
          <w:szCs w:val="32"/>
        </w:rPr>
        <w:t>万元以上专用设备</w:t>
      </w:r>
      <w:r>
        <w:rPr>
          <w:rFonts w:ascii="仿宋_GB2312"/>
          <w:szCs w:val="32"/>
        </w:rPr>
        <w:t>0</w:t>
      </w:r>
      <w:r>
        <w:rPr>
          <w:rFonts w:hint="eastAsia" w:ascii="仿宋_GB2312"/>
          <w:szCs w:val="32"/>
        </w:rPr>
        <w:t>台（套）。</w:t>
      </w:r>
    </w:p>
    <w:p>
      <w:pPr>
        <w:autoSpaceDE w:val="0"/>
        <w:autoSpaceDN w:val="0"/>
        <w:adjustRightInd w:val="0"/>
        <w:spacing w:line="576" w:lineRule="exact"/>
        <w:ind w:firstLine="642" w:firstLineChars="200"/>
        <w:jc w:val="left"/>
        <w:outlineLvl w:val="2"/>
        <w:rPr>
          <w:rFonts w:ascii="仿宋" w:hAnsi="仿宋" w:eastAsia="仿宋"/>
          <w:b/>
          <w:szCs w:val="32"/>
        </w:rPr>
      </w:pPr>
      <w:bookmarkStart w:id="76" w:name="_Toc146616501"/>
      <w:r>
        <w:rPr>
          <w:rFonts w:hint="eastAsia" w:ascii="仿宋" w:hAnsi="仿宋" w:eastAsia="仿宋"/>
          <w:b/>
          <w:szCs w:val="32"/>
        </w:rPr>
        <w:t>（四）预算绩效管理情况</w:t>
      </w:r>
      <w:bookmarkEnd w:id="76"/>
    </w:p>
    <w:p>
      <w:pPr>
        <w:widowControl/>
        <w:spacing w:line="576" w:lineRule="exact"/>
        <w:ind w:firstLine="640" w:firstLineChars="200"/>
        <w:jc w:val="left"/>
        <w:rPr>
          <w:rFonts w:ascii="仿宋_GB2312" w:hAnsi="仿宋_GB2312" w:cs="仿宋_GB2312"/>
          <w:szCs w:val="32"/>
          <w:highlight w:val="yellow"/>
        </w:rPr>
      </w:pPr>
      <w:r>
        <w:rPr>
          <w:rFonts w:hint="eastAsia" w:ascii="仿宋_GB2312" w:hAnsi="仿宋_GB2312" w:cs="仿宋_GB2312"/>
          <w:szCs w:val="32"/>
        </w:rPr>
        <w:t>根据预算绩效管理要求，本部门在202</w:t>
      </w:r>
      <w:r>
        <w:rPr>
          <w:rFonts w:ascii="仿宋_GB2312" w:hAnsi="仿宋_GB2312" w:cs="仿宋_GB2312"/>
          <w:szCs w:val="32"/>
        </w:rPr>
        <w:t>3</w:t>
      </w:r>
      <w:r>
        <w:rPr>
          <w:rFonts w:hint="eastAsia" w:ascii="仿宋_GB2312" w:hAnsi="仿宋_GB2312" w:cs="仿宋_GB2312"/>
          <w:szCs w:val="32"/>
        </w:rPr>
        <w:t>年度预算编制阶段，组织对办公设备购买项目等2</w:t>
      </w:r>
      <w:r>
        <w:rPr>
          <w:rFonts w:ascii="仿宋_GB2312" w:hAnsi="仿宋_GB2312" w:cs="仿宋_GB2312"/>
          <w:szCs w:val="32"/>
        </w:rPr>
        <w:t>7</w:t>
      </w:r>
      <w:r>
        <w:rPr>
          <w:rFonts w:hint="eastAsia" w:ascii="仿宋_GB2312" w:hAnsi="仿宋_GB2312" w:cs="仿宋_GB2312"/>
          <w:szCs w:val="32"/>
        </w:rPr>
        <w:t>个项目开展了预算事前绩效评估，对2</w:t>
      </w:r>
      <w:r>
        <w:rPr>
          <w:rFonts w:ascii="仿宋_GB2312" w:hAnsi="仿宋_GB2312" w:cs="仿宋_GB2312"/>
          <w:szCs w:val="32"/>
        </w:rPr>
        <w:t>7</w:t>
      </w:r>
      <w:r>
        <w:rPr>
          <w:rFonts w:hint="eastAsia" w:ascii="仿宋_GB2312" w:hAnsi="仿宋_GB2312" w:cs="仿宋_GB2312"/>
          <w:szCs w:val="32"/>
        </w:rPr>
        <w:t>个项目编制了绩效目标，预算执行过程中，对2</w:t>
      </w:r>
      <w:r>
        <w:rPr>
          <w:rFonts w:ascii="仿宋_GB2312" w:hAnsi="仿宋_GB2312" w:cs="仿宋_GB2312"/>
          <w:szCs w:val="32"/>
        </w:rPr>
        <w:t>7</w:t>
      </w:r>
      <w:r>
        <w:rPr>
          <w:rFonts w:hint="eastAsia" w:ascii="仿宋_GB2312" w:hAnsi="仿宋_GB2312" w:cs="仿宋_GB2312"/>
          <w:szCs w:val="32"/>
        </w:rPr>
        <w:t>个项目开展绩效监控。</w:t>
      </w:r>
    </w:p>
    <w:p>
      <w:pPr>
        <w:adjustRightInd w:val="0"/>
        <w:snapToGrid w:val="0"/>
        <w:spacing w:line="600" w:lineRule="exact"/>
        <w:ind w:firstLine="640" w:firstLineChars="200"/>
        <w:jc w:val="left"/>
        <w:rPr>
          <w:rFonts w:ascii="仿宋_GB2312" w:hAnsi="仿宋_GB2312" w:cs="仿宋_GB2312"/>
          <w:szCs w:val="32"/>
        </w:rPr>
      </w:pPr>
      <w:r>
        <w:rPr>
          <w:rFonts w:hint="eastAsia" w:ascii="仿宋_GB2312" w:hAnsi="仿宋_GB2312" w:cs="仿宋_GB2312"/>
          <w:szCs w:val="32"/>
        </w:rPr>
        <w:t>组织对202</w:t>
      </w:r>
      <w:r>
        <w:rPr>
          <w:rFonts w:ascii="仿宋_GB2312" w:hAnsi="仿宋_GB2312" w:cs="仿宋_GB2312"/>
          <w:szCs w:val="32"/>
        </w:rPr>
        <w:t>3</w:t>
      </w:r>
      <w:r>
        <w:rPr>
          <w:rFonts w:hint="eastAsia" w:ascii="仿宋_GB2312" w:hAnsi="仿宋_GB2312" w:cs="仿宋_GB2312"/>
          <w:szCs w:val="32"/>
        </w:rPr>
        <w:t>年度一般公共预算、政府性基金等全面开展绩效自评，形成</w:t>
      </w:r>
      <w:r>
        <w:rPr>
          <w:rFonts w:hint="eastAsia" w:ascii="仿宋_GB2312"/>
          <w:szCs w:val="32"/>
        </w:rPr>
        <w:t>广元市政府国有资产监督管理委员会</w:t>
      </w:r>
      <w:r>
        <w:rPr>
          <w:rFonts w:hint="eastAsia" w:ascii="仿宋_GB2312" w:hAnsi="仿宋_GB2312" w:cs="仿宋_GB2312"/>
          <w:szCs w:val="32"/>
        </w:rPr>
        <w:t>部门整体支出绩效自评报告等专项预算项目绩效自评报告，其中，</w:t>
      </w:r>
      <w:r>
        <w:rPr>
          <w:rFonts w:hint="eastAsia" w:ascii="仿宋_GB2312"/>
          <w:szCs w:val="32"/>
        </w:rPr>
        <w:t>广元市政府国有资产监督管理委员会</w:t>
      </w:r>
      <w:r>
        <w:rPr>
          <w:rFonts w:hint="eastAsia" w:ascii="仿宋_GB2312" w:hAnsi="仿宋_GB2312" w:cs="仿宋_GB2312"/>
          <w:szCs w:val="32"/>
        </w:rPr>
        <w:t>部门整体支出绩效自评得分为</w:t>
      </w:r>
      <w:r>
        <w:rPr>
          <w:rFonts w:ascii="仿宋_GB2312" w:hAnsi="仿宋_GB2312" w:cs="仿宋_GB2312"/>
          <w:szCs w:val="32"/>
        </w:rPr>
        <w:t>95.74</w:t>
      </w:r>
      <w:r>
        <w:rPr>
          <w:rFonts w:hint="eastAsia" w:ascii="仿宋_GB2312" w:hAnsi="仿宋_GB2312" w:cs="仿宋_GB2312"/>
          <w:szCs w:val="32"/>
        </w:rPr>
        <w:t>分，绩效自评综述：</w:t>
      </w:r>
      <w:r>
        <w:rPr>
          <w:rFonts w:hint="eastAsia" w:ascii="仿宋_GB2312"/>
          <w:szCs w:val="32"/>
          <w:shd w:val="clear" w:color="auto" w:fill="FFFFFF"/>
        </w:rPr>
        <w:t>我委积极组织下属二级单位认真全面开展绩效评价工作，对纳入部门预算的项目及专项预算项目进行项目支出绩效自评，持续完善财务管理制度和内控约束机制，严格按照相关制度使用财政资金，提高财政资金使用效率，完成部门职能目标，国资监管水平不断提升，达到了预期绩效目标。</w:t>
      </w:r>
      <w:r>
        <w:rPr>
          <w:rFonts w:hint="eastAsia" w:ascii="仿宋_GB2312" w:hAnsi="仿宋_GB2312" w:cs="仿宋_GB2312"/>
          <w:szCs w:val="32"/>
        </w:rPr>
        <w:t>绩效自评报告详见附件。</w:t>
      </w:r>
    </w:p>
    <w:p>
      <w:pPr>
        <w:pStyle w:val="2"/>
        <w:spacing w:before="93"/>
      </w:pPr>
    </w:p>
    <w:p>
      <w:pPr>
        <w:pStyle w:val="2"/>
        <w:spacing w:before="93"/>
        <w:rPr>
          <w:rFonts w:hint="eastAsia"/>
        </w:rPr>
      </w:pPr>
    </w:p>
    <w:p>
      <w:pPr>
        <w:numPr>
          <w:ilvl w:val="0"/>
          <w:numId w:val="4"/>
        </w:numPr>
        <w:spacing w:line="576" w:lineRule="exact"/>
        <w:ind w:firstLine="660" w:firstLineChars="150"/>
        <w:jc w:val="center"/>
        <w:outlineLvl w:val="0"/>
        <w:rPr>
          <w:rStyle w:val="32"/>
          <w:rFonts w:ascii="黑体" w:hAnsi="黑体" w:eastAsia="黑体"/>
          <w:b w:val="0"/>
        </w:rPr>
      </w:pPr>
      <w:bookmarkStart w:id="77" w:name="_Toc15377225"/>
      <w:bookmarkStart w:id="78" w:name="_Toc15396613"/>
      <w:bookmarkStart w:id="79" w:name="_Toc146616502"/>
      <w:r>
        <w:rPr>
          <w:rFonts w:hint="eastAsia" w:ascii="黑体" w:hAnsi="黑体" w:eastAsia="黑体"/>
          <w:sz w:val="44"/>
          <w:szCs w:val="44"/>
        </w:rPr>
        <w:t>名</w:t>
      </w:r>
      <w:r>
        <w:rPr>
          <w:rStyle w:val="32"/>
          <w:rFonts w:hint="eastAsia" w:ascii="黑体" w:hAnsi="黑体" w:eastAsia="黑体"/>
          <w:b w:val="0"/>
        </w:rPr>
        <w:t>词解释</w:t>
      </w:r>
      <w:bookmarkEnd w:id="77"/>
      <w:bookmarkEnd w:id="78"/>
      <w:bookmarkEnd w:id="79"/>
    </w:p>
    <w:p>
      <w:pPr>
        <w:spacing w:line="576" w:lineRule="exact"/>
        <w:jc w:val="left"/>
        <w:rPr>
          <w:rFonts w:ascii="宋体"/>
          <w:b/>
          <w:sz w:val="44"/>
          <w:szCs w:val="44"/>
        </w:rPr>
      </w:pPr>
    </w:p>
    <w:p>
      <w:pPr>
        <w:numPr>
          <w:ilvl w:val="0"/>
          <w:numId w:val="5"/>
        </w:numPr>
        <w:rPr>
          <w:rFonts w:ascii="仿宋_GB2312"/>
          <w:szCs w:val="32"/>
        </w:rPr>
      </w:pPr>
      <w:r>
        <w:rPr>
          <w:rFonts w:hint="eastAsia" w:ascii="仿宋_GB2312"/>
          <w:szCs w:val="32"/>
        </w:rPr>
        <w:t>财政拨款收入：指单位从同级财政部门取得的财政预算资金。</w:t>
      </w:r>
    </w:p>
    <w:p>
      <w:pPr>
        <w:numPr>
          <w:ilvl w:val="0"/>
          <w:numId w:val="5"/>
        </w:numPr>
        <w:rPr>
          <w:rFonts w:ascii="仿宋_GB2312"/>
          <w:szCs w:val="32"/>
        </w:rPr>
      </w:pPr>
      <w:r>
        <w:rPr>
          <w:rFonts w:hint="eastAsia" w:ascii="仿宋_GB2312"/>
          <w:szCs w:val="32"/>
        </w:rPr>
        <w:t xml:space="preserve">其他收入：指单位取得的除上述收入以外的各项收入。主要是利息收入等。 </w:t>
      </w:r>
    </w:p>
    <w:p>
      <w:pPr>
        <w:numPr>
          <w:ilvl w:val="0"/>
          <w:numId w:val="5"/>
        </w:numPr>
        <w:rPr>
          <w:rFonts w:ascii="仿宋_GB2312"/>
          <w:szCs w:val="32"/>
        </w:rPr>
      </w:pPr>
      <w:r>
        <w:rPr>
          <w:rFonts w:hint="eastAsia" w:ascii="仿宋_GB2312"/>
          <w:szCs w:val="32"/>
        </w:rPr>
        <w:t xml:space="preserve">年初结转和结余：指以前年度尚未完成、结转到本年按有关规定继续使用的资金。 </w:t>
      </w:r>
    </w:p>
    <w:p>
      <w:pPr>
        <w:numPr>
          <w:ilvl w:val="0"/>
          <w:numId w:val="5"/>
        </w:numPr>
        <w:rPr>
          <w:rFonts w:ascii="仿宋_GB2312"/>
          <w:szCs w:val="32"/>
        </w:rPr>
      </w:pPr>
      <w:r>
        <w:rPr>
          <w:rFonts w:hint="eastAsia" w:ascii="仿宋_GB2312"/>
          <w:szCs w:val="32"/>
        </w:rPr>
        <w:t>结余分配：指事业单位按照会计制度规定缴纳的所得税、提取的专用结余以及转入非财政拨款结余的金额等。</w:t>
      </w:r>
    </w:p>
    <w:p>
      <w:pPr>
        <w:numPr>
          <w:ilvl w:val="0"/>
          <w:numId w:val="5"/>
        </w:numPr>
        <w:rPr>
          <w:rFonts w:ascii="仿宋_GB2312"/>
          <w:szCs w:val="32"/>
        </w:rPr>
      </w:pPr>
      <w:r>
        <w:rPr>
          <w:rFonts w:hint="eastAsia" w:ascii="仿宋_GB2312"/>
          <w:szCs w:val="32"/>
        </w:rPr>
        <w:t>年末结转和结余：指单位按有关规定结转到下年或以后年度继续使用的资金。</w:t>
      </w:r>
    </w:p>
    <w:p>
      <w:pPr>
        <w:numPr>
          <w:ilvl w:val="0"/>
          <w:numId w:val="5"/>
        </w:numPr>
        <w:rPr>
          <w:rFonts w:ascii="仿宋_GB2312"/>
          <w:szCs w:val="32"/>
        </w:rPr>
      </w:pPr>
      <w:r>
        <w:rPr>
          <w:rFonts w:hint="eastAsia" w:ascii="仿宋_GB2312"/>
          <w:szCs w:val="32"/>
        </w:rPr>
        <w:t>社会保障和就业（类）人力资源和社会保障管理事务（款）引进人才费用（项）：反映用于引进外国专家补助、引智成果推广等方面的支出。</w:t>
      </w:r>
    </w:p>
    <w:p>
      <w:pPr>
        <w:numPr>
          <w:ilvl w:val="0"/>
          <w:numId w:val="5"/>
        </w:numPr>
        <w:rPr>
          <w:rFonts w:ascii="仿宋_GB2312"/>
          <w:szCs w:val="32"/>
        </w:rPr>
      </w:pPr>
      <w:r>
        <w:rPr>
          <w:rFonts w:hint="eastAsia" w:ascii="仿宋_GB2312"/>
          <w:szCs w:val="32"/>
        </w:rPr>
        <w:t>社会保障和就业（类）行政事业单位养老支出（款）机关事业单位基本养老保险缴费支出（项）：反映机关事业单位实施养老保险制度由单位缴纳的基本养老保险费支出。</w:t>
      </w:r>
    </w:p>
    <w:p>
      <w:pPr>
        <w:numPr>
          <w:ilvl w:val="0"/>
          <w:numId w:val="5"/>
        </w:numPr>
        <w:rPr>
          <w:rFonts w:ascii="仿宋_GB2312"/>
          <w:szCs w:val="32"/>
        </w:rPr>
      </w:pPr>
      <w:r>
        <w:rPr>
          <w:rFonts w:hint="eastAsia" w:ascii="仿宋_GB2312"/>
          <w:szCs w:val="32"/>
        </w:rPr>
        <w:t>社会保障和就业（类）行政事业单位养老支出（款）机关事业单位职业年金缴费支出（项）：反映机关事业单位实施养老保险制度由单位缴纳的职业年金支出。</w:t>
      </w:r>
    </w:p>
    <w:p>
      <w:pPr>
        <w:numPr>
          <w:ilvl w:val="0"/>
          <w:numId w:val="5"/>
        </w:numPr>
        <w:rPr>
          <w:rFonts w:ascii="仿宋_GB2312"/>
          <w:szCs w:val="32"/>
        </w:rPr>
      </w:pPr>
      <w:r>
        <w:rPr>
          <w:rFonts w:hint="eastAsia" w:ascii="仿宋_GB2312"/>
          <w:szCs w:val="32"/>
        </w:rPr>
        <w:t>社会保障和就业（类）其他社会保障和就业支出（款）其他社会保障和就业支出（项）：反映除上述项目以外其他用于社会保障和就业方面的支出。</w:t>
      </w:r>
    </w:p>
    <w:p>
      <w:pPr>
        <w:numPr>
          <w:ilvl w:val="0"/>
          <w:numId w:val="5"/>
        </w:numPr>
        <w:rPr>
          <w:rFonts w:ascii="仿宋_GB2312"/>
          <w:szCs w:val="32"/>
        </w:rPr>
      </w:pPr>
      <w:r>
        <w:rPr>
          <w:rFonts w:hint="eastAsia" w:ascii="仿宋_GB2312"/>
          <w:szCs w:val="32"/>
        </w:rPr>
        <w:t>卫生健康（类）行政事业单位医疗（款）行政单位医疗（项）：反映</w:t>
      </w:r>
      <w:r>
        <w:rPr>
          <w:rFonts w:hint="eastAsia" w:ascii="仿宋_GB2312" w:hAnsi="仿宋"/>
          <w:color w:val="000000"/>
          <w:szCs w:val="32"/>
        </w:rPr>
        <w:t>财政部门安排的行政单位（包括实行公务员管理的事业单位，下同）基本医疗保险缴费经费，未参加医疗保险的行政单位的公费医疗经费，按国家规定享受离休人员、红军老战士待遇人员的医疗经费</w:t>
      </w:r>
      <w:r>
        <w:rPr>
          <w:rFonts w:hint="eastAsia" w:ascii="仿宋_GB2312"/>
          <w:szCs w:val="32"/>
        </w:rPr>
        <w:t>。</w:t>
      </w:r>
    </w:p>
    <w:p>
      <w:pPr>
        <w:numPr>
          <w:ilvl w:val="0"/>
          <w:numId w:val="5"/>
        </w:numPr>
        <w:rPr>
          <w:rFonts w:ascii="仿宋_GB2312"/>
          <w:szCs w:val="32"/>
        </w:rPr>
      </w:pPr>
      <w:r>
        <w:rPr>
          <w:rFonts w:hint="eastAsia" w:ascii="仿宋_GB2312"/>
          <w:szCs w:val="32"/>
        </w:rPr>
        <w:t>卫生健康（类）行政事业单位医疗（款）事业单位医疗（项）：</w:t>
      </w:r>
      <w:r>
        <w:rPr>
          <w:rFonts w:hint="eastAsia" w:ascii="仿宋_GB2312" w:hAnsi="仿宋"/>
          <w:color w:val="000000"/>
          <w:szCs w:val="32"/>
        </w:rPr>
        <w:t>反映财政部门安排的事业单位基本医疗保险缴费经费，未参加医疗保险的事业单位的公费医疗经费，按国家规定享受离休人员待遇的医疗经费。</w:t>
      </w:r>
    </w:p>
    <w:p>
      <w:pPr>
        <w:numPr>
          <w:ilvl w:val="0"/>
          <w:numId w:val="5"/>
        </w:numPr>
        <w:rPr>
          <w:rFonts w:ascii="仿宋_GB2312"/>
          <w:szCs w:val="32"/>
        </w:rPr>
      </w:pPr>
      <w:r>
        <w:rPr>
          <w:rFonts w:hint="eastAsia" w:ascii="仿宋_GB2312"/>
          <w:szCs w:val="32"/>
        </w:rPr>
        <w:t>城乡社区（类）城乡社区公共设施（款）其他城乡社区公共设施支出（项）：</w:t>
      </w:r>
      <w:r>
        <w:rPr>
          <w:rFonts w:hint="eastAsia" w:ascii="仿宋_GB2312" w:hAnsi="仿宋"/>
          <w:szCs w:val="32"/>
        </w:rPr>
        <w:t>反映除上述项目以外其他用于城乡社区公共设施方面的支出</w:t>
      </w:r>
      <w:r>
        <w:rPr>
          <w:rFonts w:hint="eastAsia" w:ascii="仿宋_GB2312"/>
          <w:szCs w:val="32"/>
        </w:rPr>
        <w:t>。</w:t>
      </w:r>
    </w:p>
    <w:p>
      <w:pPr>
        <w:numPr>
          <w:ilvl w:val="0"/>
          <w:numId w:val="5"/>
        </w:numPr>
        <w:rPr>
          <w:rFonts w:ascii="仿宋_GB2312"/>
          <w:szCs w:val="32"/>
        </w:rPr>
      </w:pPr>
      <w:r>
        <w:rPr>
          <w:rFonts w:hint="eastAsia" w:ascii="仿宋_GB2312"/>
          <w:szCs w:val="32"/>
        </w:rPr>
        <w:t>城乡社区（类）国有土地使用权出让安排的支出（款）征地和拆迁补偿支出（项）：</w:t>
      </w:r>
      <w:r>
        <w:rPr>
          <w:rFonts w:ascii="仿宋_GB2312"/>
          <w:szCs w:val="32"/>
        </w:rPr>
        <w:t xml:space="preserve"> </w:t>
      </w:r>
      <w:r>
        <w:rPr>
          <w:rFonts w:hint="eastAsia" w:ascii="仿宋_GB2312"/>
          <w:szCs w:val="32"/>
        </w:rPr>
        <w:t>反映新疆生产建设兵团和地方政府在征地和收购土地过程中支付的土地补偿费、安置补助费、地上附着和青苗补偿费、拆迁补偿费支出。</w:t>
      </w:r>
    </w:p>
    <w:p>
      <w:pPr>
        <w:numPr>
          <w:ilvl w:val="0"/>
          <w:numId w:val="5"/>
        </w:numPr>
        <w:rPr>
          <w:rFonts w:ascii="仿宋_GB2312"/>
          <w:szCs w:val="32"/>
        </w:rPr>
      </w:pPr>
      <w:r>
        <w:rPr>
          <w:rFonts w:hint="eastAsia" w:ascii="仿宋_GB2312"/>
          <w:szCs w:val="32"/>
        </w:rPr>
        <w:t>城乡社区（类）国有土地使用权出让安排的支出（款）土地开发支出（项）：</w:t>
      </w:r>
      <w:r>
        <w:rPr>
          <w:rFonts w:ascii="仿宋_GB2312"/>
          <w:szCs w:val="32"/>
        </w:rPr>
        <w:t xml:space="preserve"> </w:t>
      </w:r>
      <w:r>
        <w:rPr>
          <w:rFonts w:hint="eastAsia" w:ascii="仿宋_GB2312"/>
          <w:szCs w:val="32"/>
        </w:rPr>
        <w:t>反映新疆生产建设兵团和地方政府用于前期土地开发性支出以及与前期土地开发相关的费用等支出。</w:t>
      </w:r>
    </w:p>
    <w:p>
      <w:pPr>
        <w:numPr>
          <w:ilvl w:val="0"/>
          <w:numId w:val="5"/>
        </w:numPr>
        <w:rPr>
          <w:rFonts w:ascii="仿宋_GB2312"/>
          <w:szCs w:val="32"/>
        </w:rPr>
      </w:pPr>
      <w:r>
        <w:rPr>
          <w:rFonts w:hint="eastAsia" w:ascii="仿宋_GB2312"/>
          <w:szCs w:val="32"/>
        </w:rPr>
        <w:t>城乡社区（类）国有土地使用权出让安排的支出（款）城市建设支出（项）：反映土地出让收入用于完善国有土地使用功能的配套设施建设和城市基础设施建设支出。</w:t>
      </w:r>
    </w:p>
    <w:p>
      <w:pPr>
        <w:numPr>
          <w:ilvl w:val="0"/>
          <w:numId w:val="5"/>
        </w:numPr>
        <w:rPr>
          <w:rFonts w:ascii="仿宋_GB2312"/>
          <w:szCs w:val="32"/>
        </w:rPr>
      </w:pPr>
      <w:r>
        <w:rPr>
          <w:rFonts w:hint="eastAsia" w:ascii="仿宋_GB2312"/>
          <w:szCs w:val="32"/>
        </w:rPr>
        <w:t>城乡社区（类）国有土地使用权出让安排的支出（款）农村基础设施建设支出（项）：反映土地出让收入用于农村供水保障、村庄公共设施建设和管护以及与农业农村直接相关的以工代赈等方面的支出。</w:t>
      </w:r>
    </w:p>
    <w:p>
      <w:pPr>
        <w:numPr>
          <w:ilvl w:val="0"/>
          <w:numId w:val="5"/>
        </w:numPr>
        <w:rPr>
          <w:rFonts w:ascii="仿宋_GB2312"/>
          <w:szCs w:val="32"/>
        </w:rPr>
      </w:pPr>
      <w:r>
        <w:rPr>
          <w:rFonts w:hint="eastAsia" w:ascii="仿宋_GB2312"/>
          <w:szCs w:val="32"/>
        </w:rPr>
        <w:t>城乡社区（类）国有土地使用权出让安排的支出（款）其他国有土地使用权出让安排的支出（项）：反映土地出让收入用于其他方面的支出。不包括市县级政府当年按规定用土地出让收入项中央和省级政府缴纳的新增建设用地土地有偿使用费的支出。</w:t>
      </w:r>
    </w:p>
    <w:p>
      <w:pPr>
        <w:numPr>
          <w:ilvl w:val="0"/>
          <w:numId w:val="5"/>
        </w:numPr>
        <w:rPr>
          <w:rFonts w:ascii="仿宋_GB2312"/>
          <w:szCs w:val="32"/>
        </w:rPr>
      </w:pPr>
      <w:r>
        <w:rPr>
          <w:rFonts w:hint="eastAsia" w:ascii="仿宋_GB2312"/>
          <w:szCs w:val="32"/>
        </w:rPr>
        <w:t>城乡社区（类）城市基础设施配套费安排的支出（款）城市环境卫生（项）：反映城市基础设施配套费安排用于道路清扫、垃圾清运与处理、污水处理、园林绿化等方面的支出。</w:t>
      </w:r>
    </w:p>
    <w:p>
      <w:pPr>
        <w:numPr>
          <w:ilvl w:val="0"/>
          <w:numId w:val="5"/>
        </w:numPr>
        <w:rPr>
          <w:rFonts w:ascii="仿宋_GB2312"/>
          <w:szCs w:val="32"/>
        </w:rPr>
      </w:pPr>
      <w:r>
        <w:rPr>
          <w:rFonts w:hint="eastAsia" w:ascii="仿宋_GB2312"/>
          <w:szCs w:val="32"/>
        </w:rPr>
        <w:t>城乡社区（类）其他城乡社区支出（款）其他城乡社区支出（项）：</w:t>
      </w:r>
      <w:r>
        <w:rPr>
          <w:rFonts w:hint="eastAsia" w:ascii="仿宋_GB2312" w:hAnsi="仿宋"/>
          <w:szCs w:val="32"/>
        </w:rPr>
        <w:t>反映除上述项目以外其他用于城乡社区方面的支出。</w:t>
      </w:r>
    </w:p>
    <w:p>
      <w:pPr>
        <w:numPr>
          <w:ilvl w:val="0"/>
          <w:numId w:val="5"/>
        </w:numPr>
        <w:rPr>
          <w:rFonts w:ascii="仿宋_GB2312"/>
          <w:szCs w:val="32"/>
        </w:rPr>
      </w:pPr>
      <w:r>
        <w:rPr>
          <w:rFonts w:hint="eastAsia" w:ascii="仿宋_GB2312"/>
          <w:szCs w:val="32"/>
        </w:rPr>
        <w:t>资源勘探工业信息等（类）国有资产监管（款）行政运行（项）：反映行政单位（包括实行公务员管理的事业单位）的基本支出。</w:t>
      </w:r>
    </w:p>
    <w:p>
      <w:pPr>
        <w:numPr>
          <w:ilvl w:val="0"/>
          <w:numId w:val="5"/>
        </w:numPr>
        <w:rPr>
          <w:rFonts w:ascii="仿宋_GB2312"/>
          <w:szCs w:val="32"/>
        </w:rPr>
      </w:pPr>
      <w:r>
        <w:rPr>
          <w:rFonts w:hint="eastAsia" w:ascii="仿宋_GB2312"/>
          <w:szCs w:val="32"/>
        </w:rPr>
        <w:t>资源勘探工业信息等（类）国有资产监管（款）一般行政管理事务（项）：反映行政单位（包括实行公务员管理的事业单位）未单独设置项级科目的其他项目支出。</w:t>
      </w:r>
    </w:p>
    <w:p>
      <w:pPr>
        <w:numPr>
          <w:ilvl w:val="0"/>
          <w:numId w:val="5"/>
        </w:numPr>
        <w:rPr>
          <w:rFonts w:ascii="仿宋_GB2312"/>
          <w:szCs w:val="32"/>
        </w:rPr>
      </w:pPr>
      <w:r>
        <w:rPr>
          <w:rFonts w:hint="eastAsia" w:ascii="仿宋_GB2312"/>
          <w:szCs w:val="32"/>
        </w:rPr>
        <w:t>资源勘探工业信息等（类）国有资产监管（款）其他国有资产监管支出（项）：反映除上述项目以外其他用于国有资产监管方面的支出。</w:t>
      </w:r>
    </w:p>
    <w:p>
      <w:pPr>
        <w:numPr>
          <w:ilvl w:val="0"/>
          <w:numId w:val="5"/>
        </w:numPr>
        <w:rPr>
          <w:rFonts w:ascii="仿宋_GB2312"/>
          <w:szCs w:val="32"/>
        </w:rPr>
      </w:pPr>
      <w:r>
        <w:rPr>
          <w:rFonts w:hint="eastAsia" w:ascii="仿宋_GB2312"/>
          <w:szCs w:val="32"/>
        </w:rPr>
        <w:t>住房保障（类）住房改革支出（款）住房公积金（项）：反映</w:t>
      </w:r>
      <w:r>
        <w:rPr>
          <w:rFonts w:hint="eastAsia" w:ascii="仿宋_GB2312" w:hAnsi="仿宋"/>
          <w:color w:val="000000"/>
          <w:szCs w:val="32"/>
        </w:rPr>
        <w:t>行政事业单位按人力资源和社会保障部、财政部规定的基本工资和津贴补贴以及规定比例为职工缴纳的住房公积金</w:t>
      </w:r>
      <w:r>
        <w:rPr>
          <w:rFonts w:hint="eastAsia" w:ascii="仿宋_GB2312"/>
          <w:szCs w:val="32"/>
        </w:rPr>
        <w:t>。</w:t>
      </w:r>
    </w:p>
    <w:p>
      <w:pPr>
        <w:numPr>
          <w:ilvl w:val="0"/>
          <w:numId w:val="5"/>
        </w:numPr>
        <w:rPr>
          <w:rFonts w:ascii="仿宋_GB2312"/>
          <w:szCs w:val="32"/>
        </w:rPr>
      </w:pPr>
      <w:r>
        <w:rPr>
          <w:rFonts w:hint="eastAsia" w:ascii="仿宋_GB2312"/>
          <w:szCs w:val="32"/>
        </w:rPr>
        <w:t>其他支出（类）其他支出（款）其他支出（项）：反映除上述项目以外其他不能划分到具体功能科目中的支出项目。</w:t>
      </w:r>
    </w:p>
    <w:p>
      <w:pPr>
        <w:numPr>
          <w:ilvl w:val="0"/>
          <w:numId w:val="5"/>
        </w:numPr>
        <w:rPr>
          <w:rFonts w:ascii="仿宋_GB2312"/>
          <w:szCs w:val="32"/>
        </w:rPr>
      </w:pPr>
      <w:r>
        <w:rPr>
          <w:rFonts w:hint="eastAsia" w:ascii="仿宋_GB2312"/>
          <w:szCs w:val="32"/>
        </w:rPr>
        <w:t>基本支出：指为保障机构正常运转、完成日常工作任务而发生的人员支出和公用支出。</w:t>
      </w:r>
    </w:p>
    <w:p>
      <w:pPr>
        <w:numPr>
          <w:ilvl w:val="0"/>
          <w:numId w:val="5"/>
        </w:numPr>
        <w:rPr>
          <w:rFonts w:ascii="仿宋_GB2312"/>
          <w:szCs w:val="32"/>
        </w:rPr>
      </w:pPr>
      <w:r>
        <w:rPr>
          <w:rFonts w:hint="eastAsia" w:ascii="仿宋_GB2312"/>
          <w:szCs w:val="32"/>
        </w:rPr>
        <w:t xml:space="preserve">项目支出：指在基本支出之外为完成特定行政任务和事业发展目标所发生的支出。 </w:t>
      </w:r>
    </w:p>
    <w:p>
      <w:pPr>
        <w:numPr>
          <w:ilvl w:val="0"/>
          <w:numId w:val="5"/>
        </w:numPr>
        <w:rPr>
          <w:rFonts w:ascii="仿宋_GB2312"/>
          <w:szCs w:val="32"/>
        </w:rPr>
      </w:pPr>
      <w:r>
        <w:rPr>
          <w:rFonts w:hint="eastAsia" w:ascii="仿宋_GB231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5"/>
        </w:numPr>
        <w:rPr>
          <w:rFonts w:ascii="仿宋_GB2312"/>
          <w:szCs w:val="32"/>
        </w:rPr>
      </w:pPr>
      <w:r>
        <w:rPr>
          <w:rFonts w:hint="eastAsia" w:ascii="仿宋_GB231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76" w:lineRule="exact"/>
        <w:ind w:firstLine="642" w:firstLineChars="200"/>
        <w:rPr>
          <w:rFonts w:ascii="仿宋" w:hAnsi="仿宋" w:eastAsia="仿宋"/>
          <w:b/>
          <w:szCs w:val="32"/>
        </w:rPr>
      </w:pPr>
    </w:p>
    <w:p>
      <w:pPr>
        <w:spacing w:line="576" w:lineRule="exact"/>
        <w:jc w:val="center"/>
        <w:outlineLvl w:val="0"/>
        <w:rPr>
          <w:rStyle w:val="32"/>
          <w:rFonts w:ascii="黑体" w:hAnsi="黑体" w:eastAsia="黑体"/>
          <w:b w:val="0"/>
        </w:rPr>
      </w:pPr>
      <w:bookmarkStart w:id="80" w:name="_Toc15377226"/>
      <w:r>
        <w:rPr>
          <w:rFonts w:ascii="宋体"/>
          <w:b/>
          <w:sz w:val="44"/>
          <w:szCs w:val="44"/>
        </w:rPr>
        <w:br w:type="page"/>
      </w:r>
      <w:bookmarkStart w:id="81" w:name="_Toc146616503"/>
      <w:bookmarkStart w:id="82" w:name="_Toc15396614"/>
      <w:r>
        <w:rPr>
          <w:rFonts w:hint="eastAsia" w:ascii="黑体" w:hAnsi="黑体" w:eastAsia="黑体"/>
          <w:sz w:val="44"/>
          <w:szCs w:val="44"/>
        </w:rPr>
        <w:t>第</w:t>
      </w:r>
      <w:r>
        <w:rPr>
          <w:rStyle w:val="32"/>
          <w:rFonts w:hint="eastAsia" w:ascii="黑体" w:hAnsi="黑体" w:eastAsia="黑体"/>
          <w:b w:val="0"/>
        </w:rPr>
        <w:t>四部分 附件</w:t>
      </w:r>
      <w:bookmarkEnd w:id="81"/>
      <w:bookmarkEnd w:id="82"/>
    </w:p>
    <w:p>
      <w:pPr>
        <w:spacing w:line="576" w:lineRule="exact"/>
        <w:jc w:val="left"/>
        <w:outlineLvl w:val="0"/>
        <w:rPr>
          <w:rFonts w:ascii="方正小标宋简体" w:hAnsi="方正小标宋简体" w:eastAsia="方正小标宋简体" w:cs="方正小标宋简体"/>
          <w:sz w:val="44"/>
          <w:szCs w:val="44"/>
        </w:rPr>
      </w:pPr>
      <w:bookmarkStart w:id="83" w:name="_Toc146616504"/>
      <w:r>
        <w:rPr>
          <w:rFonts w:hint="eastAsia" w:ascii="黑体" w:hAnsi="黑体" w:eastAsia="黑体" w:cs="黑体"/>
          <w:szCs w:val="32"/>
        </w:rPr>
        <w:t>附件1</w:t>
      </w:r>
      <w:bookmarkEnd w:id="83"/>
    </w:p>
    <w:p>
      <w:pPr>
        <w:widowControl/>
        <w:spacing w:line="576" w:lineRule="exact"/>
        <w:contextualSpacing/>
        <w:jc w:val="center"/>
        <w:rPr>
          <w:rFonts w:ascii="方正小标宋简体" w:hAnsi="宋体" w:eastAsia="方正小标宋简体"/>
          <w:bCs/>
          <w:sz w:val="44"/>
          <w:szCs w:val="44"/>
          <w:shd w:val="clear" w:color="auto" w:fill="FFFFFF"/>
        </w:rPr>
      </w:pPr>
      <w:r>
        <w:rPr>
          <w:rFonts w:hint="eastAsia" w:ascii="方正小标宋简体" w:hAnsi="宋体" w:eastAsia="方正小标宋简体"/>
          <w:bCs/>
          <w:sz w:val="44"/>
          <w:szCs w:val="44"/>
          <w:shd w:val="clear" w:color="auto" w:fill="FFFFFF"/>
        </w:rPr>
        <w:t>部门整体绩效评价报告</w:t>
      </w:r>
    </w:p>
    <w:p>
      <w:pPr>
        <w:widowControl/>
        <w:adjustRightInd w:val="0"/>
        <w:snapToGrid w:val="0"/>
        <w:spacing w:line="576" w:lineRule="exact"/>
        <w:ind w:firstLine="640" w:firstLineChars="200"/>
        <w:contextualSpacing/>
        <w:jc w:val="left"/>
        <w:rPr>
          <w:rFonts w:ascii="黑体" w:hAnsi="宋体" w:eastAsia="黑体" w:cs="宋体"/>
          <w:kern w:val="0"/>
          <w:szCs w:val="32"/>
          <w:shd w:val="clear" w:color="auto" w:fill="FFFFFF"/>
        </w:rPr>
      </w:pPr>
    </w:p>
    <w:p>
      <w:pPr>
        <w:widowControl/>
        <w:adjustRightInd w:val="0"/>
        <w:snapToGrid w:val="0"/>
        <w:spacing w:line="576" w:lineRule="exact"/>
        <w:ind w:firstLine="640" w:firstLineChars="200"/>
        <w:contextualSpacing/>
        <w:jc w:val="left"/>
        <w:rPr>
          <w:szCs w:val="32"/>
        </w:rPr>
      </w:pPr>
      <w:r>
        <w:rPr>
          <w:rFonts w:hint="eastAsia" w:eastAsia="黑体"/>
          <w:color w:val="000000"/>
          <w:kern w:val="0"/>
          <w:szCs w:val="32"/>
          <w:shd w:val="clear" w:color="auto" w:fill="FFFFFF"/>
          <w:lang w:val="zh-CN"/>
        </w:rPr>
        <w:t>一、</w:t>
      </w:r>
      <w:r>
        <w:rPr>
          <w:rFonts w:eastAsia="黑体"/>
          <w:color w:val="000000"/>
          <w:kern w:val="0"/>
          <w:szCs w:val="32"/>
          <w:shd w:val="clear" w:color="auto" w:fill="FFFFFF"/>
          <w:lang w:val="zh-CN"/>
        </w:rPr>
        <w:t>部门基本情况</w:t>
      </w:r>
    </w:p>
    <w:p>
      <w:pPr>
        <w:pStyle w:val="40"/>
        <w:spacing w:before="93"/>
        <w:rPr>
          <w:rFonts w:ascii="仿宋_GB2312" w:hAnsi="仿宋_GB2312" w:eastAsia="仿宋_GB2312" w:cs="仿宋_GB2312"/>
        </w:rPr>
      </w:pPr>
      <w:r>
        <w:rPr>
          <w:rFonts w:hint="eastAsia" w:eastAsia="楷体_GB2312"/>
          <w:color w:val="000000"/>
          <w:kern w:val="0"/>
          <w:shd w:val="clear" w:color="auto" w:fill="FFFFFF"/>
          <w:lang w:val="zh-CN"/>
        </w:rPr>
        <w:t>（一）</w:t>
      </w:r>
      <w:r>
        <w:rPr>
          <w:rFonts w:eastAsia="楷体_GB2312"/>
          <w:color w:val="000000"/>
          <w:kern w:val="0"/>
          <w:shd w:val="clear" w:color="auto" w:fill="FFFFFF"/>
          <w:lang w:val="zh-CN"/>
        </w:rPr>
        <w:t>机构组成。</w:t>
      </w:r>
      <w:r>
        <w:rPr>
          <w:rFonts w:hint="eastAsia" w:ascii="仿宋_GB2312" w:hAnsi="仿宋_GB2312" w:eastAsia="仿宋_GB2312" w:cs="仿宋_GB2312"/>
        </w:rPr>
        <w:t>我委9个内设机构分别为办公室、产权与收益管理科、投资规划科、财务监督与考核分配科、企业改革科、监督工作科、社会责任科、党建工作科、干部人事科。</w:t>
      </w:r>
    </w:p>
    <w:p>
      <w:pPr>
        <w:widowControl/>
        <w:adjustRightInd w:val="0"/>
        <w:snapToGrid w:val="0"/>
        <w:spacing w:line="576" w:lineRule="exact"/>
        <w:ind w:firstLine="640" w:firstLineChars="200"/>
        <w:contextualSpacing/>
        <w:jc w:val="left"/>
        <w:rPr>
          <w:rFonts w:ascii="仿宋_GB2312" w:hAnsi="仿宋_GB2312" w:cs="仿宋_GB2312"/>
          <w:szCs w:val="32"/>
        </w:rPr>
      </w:pPr>
      <w:r>
        <w:rPr>
          <w:rFonts w:hint="eastAsia" w:ascii="仿宋_GB2312" w:hAnsi="仿宋_GB2312" w:cs="仿宋_GB2312"/>
          <w:szCs w:val="32"/>
        </w:rPr>
        <w:t>委属单位共有2个，包括委机关1个行政单位，广元市国资国企服务中心1个事业单位。</w:t>
      </w:r>
    </w:p>
    <w:p>
      <w:pPr>
        <w:widowControl/>
        <w:adjustRightInd w:val="0"/>
        <w:snapToGrid w:val="0"/>
        <w:spacing w:line="576" w:lineRule="exact"/>
        <w:ind w:firstLine="640" w:firstLineChars="200"/>
        <w:contextualSpacing/>
        <w:jc w:val="left"/>
        <w:rPr>
          <w:rFonts w:ascii="仿宋_GB2312" w:hAnsi="仿宋_GB2312" w:cs="仿宋_GB2312"/>
          <w:szCs w:val="32"/>
        </w:rPr>
      </w:pPr>
      <w:r>
        <w:rPr>
          <w:rFonts w:eastAsia="楷体_GB2312"/>
          <w:color w:val="000000"/>
          <w:kern w:val="0"/>
          <w:szCs w:val="32"/>
          <w:shd w:val="clear" w:color="auto" w:fill="FFFFFF"/>
          <w:lang w:val="zh-CN"/>
        </w:rPr>
        <w:t>（二）机构职能</w:t>
      </w:r>
      <w:r>
        <w:rPr>
          <w:rFonts w:hint="eastAsia" w:eastAsia="楷体_GB2312"/>
          <w:color w:val="000000"/>
          <w:kern w:val="0"/>
          <w:szCs w:val="32"/>
          <w:shd w:val="clear" w:color="auto" w:fill="FFFFFF"/>
          <w:lang w:val="zh-CN"/>
        </w:rPr>
        <w:t>。</w:t>
      </w:r>
      <w:r>
        <w:rPr>
          <w:rFonts w:hint="eastAsia" w:ascii="仿宋_GB2312" w:hAnsi="仿宋_GB2312" w:cs="仿宋_GB2312"/>
          <w:szCs w:val="32"/>
        </w:rPr>
        <w:t>1.根据市政府授权,依照《中华人民共和国公司法》、《中华人民共和国企业国有资产法》等法律和行政法规履行出资人职责,监管市属企业的国有资产,加强国有资产的管理工作。</w:t>
      </w:r>
    </w:p>
    <w:p>
      <w:pPr>
        <w:widowControl/>
        <w:adjustRightInd w:val="0"/>
        <w:snapToGrid w:val="0"/>
        <w:spacing w:line="576" w:lineRule="exact"/>
        <w:ind w:firstLine="640" w:firstLineChars="200"/>
        <w:contextualSpacing/>
        <w:jc w:val="left"/>
        <w:rPr>
          <w:rFonts w:ascii="仿宋_GB2312" w:hAnsi="仿宋_GB2312" w:cs="仿宋_GB2312"/>
          <w:szCs w:val="32"/>
        </w:rPr>
      </w:pPr>
      <w:r>
        <w:rPr>
          <w:rFonts w:hint="eastAsia" w:ascii="仿宋_GB2312" w:hAnsi="仿宋_GB2312" w:cs="仿宋_GB2312"/>
          <w:szCs w:val="32"/>
        </w:rPr>
        <w:t>2.研究拟订国有资产管理的办法和制度规定,依法对县区国有资产管理进行指导。</w:t>
      </w:r>
    </w:p>
    <w:p>
      <w:pPr>
        <w:widowControl/>
        <w:adjustRightInd w:val="0"/>
        <w:snapToGrid w:val="0"/>
        <w:spacing w:line="576" w:lineRule="exact"/>
        <w:ind w:firstLine="640" w:firstLineChars="200"/>
        <w:contextualSpacing/>
        <w:jc w:val="left"/>
        <w:rPr>
          <w:rFonts w:ascii="仿宋_GB2312" w:hAnsi="仿宋_GB2312" w:cs="仿宋_GB2312"/>
          <w:szCs w:val="32"/>
        </w:rPr>
      </w:pPr>
      <w:r>
        <w:rPr>
          <w:rFonts w:hint="eastAsia" w:ascii="仿宋_GB2312" w:hAnsi="仿宋_GB2312" w:cs="仿宋_GB2312"/>
          <w:szCs w:val="32"/>
        </w:rPr>
        <w:t>3.承担监督所监管企业国有资产保值增值的责任,负责所监管企业工资总额管理工作,参与拟订所监管企业负责人收入分配政策并组织实施。</w:t>
      </w:r>
    </w:p>
    <w:p>
      <w:pPr>
        <w:widowControl/>
        <w:adjustRightInd w:val="0"/>
        <w:snapToGrid w:val="0"/>
        <w:spacing w:line="576" w:lineRule="exact"/>
        <w:ind w:firstLine="640" w:firstLineChars="200"/>
        <w:contextualSpacing/>
        <w:jc w:val="left"/>
        <w:rPr>
          <w:rFonts w:ascii="仿宋_GB2312" w:hAnsi="仿宋_GB2312" w:cs="仿宋_GB2312"/>
          <w:szCs w:val="32"/>
        </w:rPr>
      </w:pPr>
      <w:r>
        <w:rPr>
          <w:rFonts w:hint="eastAsia" w:ascii="仿宋_GB2312" w:hAnsi="仿宋_GB2312" w:cs="仿宋_GB2312"/>
          <w:szCs w:val="32"/>
        </w:rPr>
        <w:t>4.指导推进国有企业改革重组和现代企业制度建设 ,完善公司法人治理结构,推动国有经济布局和结构的战略性调整。</w:t>
      </w:r>
    </w:p>
    <w:p>
      <w:pPr>
        <w:widowControl/>
        <w:adjustRightInd w:val="0"/>
        <w:snapToGrid w:val="0"/>
        <w:spacing w:line="576" w:lineRule="exact"/>
        <w:ind w:firstLine="640" w:firstLineChars="200"/>
        <w:contextualSpacing/>
        <w:jc w:val="left"/>
        <w:rPr>
          <w:rFonts w:ascii="仿宋_GB2312" w:hAnsi="仿宋_GB2312" w:cs="仿宋_GB2312"/>
          <w:szCs w:val="32"/>
        </w:rPr>
      </w:pPr>
      <w:r>
        <w:rPr>
          <w:rFonts w:hint="eastAsia" w:ascii="仿宋_GB2312" w:hAnsi="仿宋_GB2312" w:cs="仿宋_GB2312"/>
          <w:szCs w:val="32"/>
        </w:rPr>
        <w:t>5.通过法定程序对所监管企业负责人进行任免、考核并根据其经营业绩进行奖惩；建立符合社会主义市场经济体制和现代企业制度要求的选人、用人机制,完善经营者激励和约束制度。</w:t>
      </w:r>
    </w:p>
    <w:p>
      <w:pPr>
        <w:widowControl/>
        <w:adjustRightInd w:val="0"/>
        <w:snapToGrid w:val="0"/>
        <w:spacing w:line="576" w:lineRule="exact"/>
        <w:ind w:firstLine="640" w:firstLineChars="200"/>
        <w:contextualSpacing/>
        <w:jc w:val="left"/>
        <w:rPr>
          <w:rFonts w:ascii="仿宋_GB2312" w:hAnsi="仿宋_GB2312" w:cs="仿宋_GB2312"/>
          <w:szCs w:val="32"/>
        </w:rPr>
      </w:pPr>
      <w:r>
        <w:rPr>
          <w:rFonts w:hint="eastAsia" w:ascii="仿宋_GB2312" w:hAnsi="仿宋_GB2312" w:cs="仿宋_GB2312"/>
          <w:szCs w:val="32"/>
        </w:rPr>
        <w:t>6.编制国有资本经营预算和执行方案；监缴所监管企业国有资本收益和市级行政事业单位经营性资产收益。</w:t>
      </w:r>
    </w:p>
    <w:p>
      <w:pPr>
        <w:widowControl/>
        <w:adjustRightInd w:val="0"/>
        <w:snapToGrid w:val="0"/>
        <w:spacing w:line="576" w:lineRule="exact"/>
        <w:ind w:firstLine="640" w:firstLineChars="200"/>
        <w:contextualSpacing/>
        <w:jc w:val="left"/>
        <w:rPr>
          <w:rFonts w:ascii="仿宋_GB2312" w:hAnsi="仿宋_GB2312" w:cs="仿宋_GB2312"/>
          <w:szCs w:val="32"/>
        </w:rPr>
      </w:pPr>
      <w:r>
        <w:rPr>
          <w:rFonts w:hint="eastAsia" w:ascii="仿宋_GB2312" w:hAnsi="仿宋_GB2312" w:cs="仿宋_GB2312"/>
          <w:szCs w:val="32"/>
        </w:rPr>
        <w:t>7.负责对国有企业及行政事业单位经营性国有资产实行监督管理,承担产权界定、清产核资、资产评估、资产处置等项工作,确保资产运行安全、完善,提高使用效能。</w:t>
      </w:r>
    </w:p>
    <w:p>
      <w:pPr>
        <w:widowControl/>
        <w:adjustRightInd w:val="0"/>
        <w:snapToGrid w:val="0"/>
        <w:spacing w:line="576" w:lineRule="exact"/>
        <w:ind w:firstLine="640" w:firstLineChars="200"/>
        <w:contextualSpacing/>
        <w:jc w:val="left"/>
        <w:rPr>
          <w:rFonts w:ascii="仿宋_GB2312" w:hAnsi="仿宋_GB2312" w:cs="仿宋_GB2312"/>
          <w:szCs w:val="32"/>
        </w:rPr>
      </w:pPr>
      <w:r>
        <w:rPr>
          <w:rFonts w:hint="eastAsia" w:ascii="仿宋_GB2312" w:hAnsi="仿宋_GB2312" w:cs="仿宋_GB2312"/>
          <w:szCs w:val="32"/>
        </w:rPr>
        <w:t>8.协调中央、省和外地在广国有企业改革发展中与地方相关的事宜。</w:t>
      </w:r>
    </w:p>
    <w:p>
      <w:pPr>
        <w:widowControl/>
        <w:adjustRightInd w:val="0"/>
        <w:snapToGrid w:val="0"/>
        <w:spacing w:line="576" w:lineRule="exact"/>
        <w:ind w:firstLine="640" w:firstLineChars="200"/>
        <w:contextualSpacing/>
        <w:jc w:val="left"/>
        <w:rPr>
          <w:rFonts w:eastAsia="楷体_GB2312"/>
          <w:color w:val="000000"/>
          <w:kern w:val="0"/>
          <w:szCs w:val="32"/>
          <w:shd w:val="clear" w:color="auto" w:fill="FFFFFF"/>
          <w:lang w:val="zh-CN"/>
        </w:rPr>
      </w:pPr>
      <w:r>
        <w:rPr>
          <w:rFonts w:hint="eastAsia" w:ascii="仿宋_GB2312" w:hAnsi="仿宋_GB2312" w:cs="仿宋_GB2312"/>
          <w:szCs w:val="32"/>
        </w:rPr>
        <w:t>9.完成市委和市政府交办的其他任务。</w:t>
      </w:r>
    </w:p>
    <w:p>
      <w:pPr>
        <w:pStyle w:val="40"/>
        <w:spacing w:before="93"/>
        <w:rPr>
          <w:rFonts w:ascii="仿宋_GB2312" w:hAnsi="仿宋_GB2312" w:eastAsia="仿宋_GB2312" w:cs="仿宋_GB2312"/>
          <w:lang w:val="zh-CN"/>
        </w:rPr>
      </w:pPr>
      <w:r>
        <w:rPr>
          <w:rFonts w:eastAsia="楷体_GB2312"/>
          <w:color w:val="000000"/>
          <w:kern w:val="0"/>
          <w:shd w:val="clear" w:color="auto" w:fill="FFFFFF"/>
          <w:lang w:val="zh-CN"/>
        </w:rPr>
        <w:t>（</w:t>
      </w:r>
      <w:r>
        <w:rPr>
          <w:rFonts w:hint="eastAsia" w:eastAsia="楷体_GB2312"/>
          <w:color w:val="000000"/>
          <w:kern w:val="0"/>
          <w:shd w:val="clear" w:color="auto" w:fill="FFFFFF"/>
          <w:lang w:val="zh-CN"/>
        </w:rPr>
        <w:t>三</w:t>
      </w:r>
      <w:r>
        <w:rPr>
          <w:rFonts w:eastAsia="楷体_GB2312"/>
          <w:color w:val="000000"/>
          <w:kern w:val="0"/>
          <w:shd w:val="clear" w:color="auto" w:fill="FFFFFF"/>
          <w:lang w:val="zh-CN"/>
        </w:rPr>
        <w:t>）人员概况</w:t>
      </w:r>
      <w:r>
        <w:rPr>
          <w:rFonts w:hint="eastAsia" w:eastAsia="楷体_GB2312"/>
          <w:color w:val="000000"/>
          <w:kern w:val="0"/>
          <w:shd w:val="clear" w:color="auto" w:fill="FFFFFF"/>
          <w:lang w:val="zh-CN"/>
        </w:rPr>
        <w:t>。</w:t>
      </w:r>
      <w:r>
        <w:rPr>
          <w:rFonts w:ascii="仿宋_GB2312" w:hAnsi="仿宋_GB2312" w:eastAsia="仿宋_GB2312" w:cs="仿宋_GB2312"/>
        </w:rPr>
        <w:t>截至202</w:t>
      </w:r>
      <w:r>
        <w:rPr>
          <w:rFonts w:hint="eastAsia" w:ascii="仿宋_GB2312" w:hAnsi="仿宋_GB2312" w:eastAsia="仿宋_GB2312" w:cs="仿宋_GB2312"/>
        </w:rPr>
        <w:t>3</w:t>
      </w:r>
      <w:r>
        <w:rPr>
          <w:rFonts w:ascii="仿宋_GB2312" w:hAnsi="仿宋_GB2312" w:eastAsia="仿宋_GB2312" w:cs="仿宋_GB2312"/>
        </w:rPr>
        <w:t>年末，</w:t>
      </w:r>
      <w:r>
        <w:rPr>
          <w:rFonts w:hint="eastAsia" w:ascii="仿宋_GB2312" w:hAnsi="仿宋_GB2312" w:eastAsia="仿宋_GB2312" w:cs="仿宋_GB2312"/>
        </w:rPr>
        <w:t>市国资委编制54名，其中:行政编制24名，事业编制28名，工勤编制2名。2023年末在职人员50人，其中:行政人员23人，事业人员25个，工勤人员2人，退休人员37人。</w:t>
      </w:r>
    </w:p>
    <w:p>
      <w:pPr>
        <w:widowControl/>
        <w:adjustRightInd w:val="0"/>
        <w:snapToGrid w:val="0"/>
        <w:spacing w:line="576"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二、部门资金收支情况</w:t>
      </w:r>
    </w:p>
    <w:p>
      <w:pPr>
        <w:widowControl/>
        <w:adjustRightInd w:val="0"/>
        <w:snapToGrid w:val="0"/>
        <w:spacing w:line="576" w:lineRule="exact"/>
        <w:ind w:firstLine="640" w:firstLineChars="200"/>
        <w:contextualSpacing/>
        <w:jc w:val="left"/>
        <w:rPr>
          <w:rFonts w:eastAsia="楷体_GB2312"/>
          <w:kern w:val="0"/>
          <w:szCs w:val="32"/>
          <w:shd w:val="clear" w:color="auto" w:fill="FFFFFF"/>
        </w:rPr>
      </w:pPr>
      <w:r>
        <w:rPr>
          <w:rFonts w:eastAsia="楷体_GB2312"/>
          <w:kern w:val="0"/>
          <w:szCs w:val="32"/>
          <w:shd w:val="clear" w:color="auto" w:fill="FFFFFF"/>
          <w:lang w:val="zh-CN"/>
        </w:rPr>
        <w:t>（一）</w:t>
      </w:r>
      <w:r>
        <w:rPr>
          <w:rFonts w:hint="eastAsia" w:eastAsia="楷体_GB2312"/>
          <w:kern w:val="0"/>
          <w:szCs w:val="32"/>
          <w:shd w:val="clear" w:color="auto" w:fill="FFFFFF"/>
          <w:lang w:val="zh-CN"/>
        </w:rPr>
        <w:t>收入情况</w:t>
      </w:r>
      <w:r>
        <w:rPr>
          <w:rFonts w:eastAsia="楷体_GB2312"/>
          <w:kern w:val="0"/>
          <w:szCs w:val="32"/>
          <w:shd w:val="clear" w:color="auto" w:fill="FFFFFF"/>
          <w:lang w:val="zh-CN"/>
        </w:rPr>
        <w:t>。</w:t>
      </w:r>
      <w:r>
        <w:rPr>
          <w:rFonts w:hint="eastAsia" w:ascii="仿宋_GB2312" w:hAnsi="仿宋_GB2312" w:cs="仿宋_GB2312"/>
          <w:szCs w:val="32"/>
          <w:lang w:val="zh-CN"/>
        </w:rPr>
        <w:t>市国资委</w:t>
      </w:r>
      <w:r>
        <w:rPr>
          <w:rFonts w:hint="eastAsia" w:ascii="仿宋_GB2312" w:hAnsi="仿宋_GB2312" w:cs="仿宋_GB2312"/>
          <w:szCs w:val="32"/>
        </w:rPr>
        <w:t>部门2023年年初预算收入1580.39万元，全年预算收入23213.59万元，决算收入23213.59万元。其中，一般公共预算财政拨款收入3576.97万元，政府性基金预算财政拨款收入19636.58万元，其他收入0.04万元。</w:t>
      </w:r>
    </w:p>
    <w:p>
      <w:pPr>
        <w:widowControl/>
        <w:adjustRightInd w:val="0"/>
        <w:snapToGrid w:val="0"/>
        <w:spacing w:line="576" w:lineRule="exact"/>
        <w:ind w:firstLine="640" w:firstLineChars="200"/>
        <w:contextualSpacing/>
        <w:jc w:val="left"/>
        <w:rPr>
          <w:szCs w:val="32"/>
          <w:lang w:val="zh-CN"/>
        </w:rPr>
      </w:pPr>
      <w:r>
        <w:rPr>
          <w:rFonts w:eastAsia="楷体_GB2312"/>
          <w:kern w:val="0"/>
          <w:szCs w:val="32"/>
          <w:shd w:val="clear" w:color="auto" w:fill="FFFFFF"/>
          <w:lang w:val="zh-CN"/>
        </w:rPr>
        <w:t>（</w:t>
      </w:r>
      <w:r>
        <w:rPr>
          <w:rFonts w:hint="eastAsia" w:eastAsia="楷体_GB2312"/>
          <w:kern w:val="0"/>
          <w:szCs w:val="32"/>
          <w:shd w:val="clear" w:color="auto" w:fill="FFFFFF"/>
          <w:lang w:val="zh-CN"/>
        </w:rPr>
        <w:t>二</w:t>
      </w:r>
      <w:r>
        <w:rPr>
          <w:rFonts w:eastAsia="楷体_GB2312"/>
          <w:kern w:val="0"/>
          <w:szCs w:val="32"/>
          <w:shd w:val="clear" w:color="auto" w:fill="FFFFFF"/>
          <w:lang w:val="zh-CN"/>
        </w:rPr>
        <w:t>）</w:t>
      </w:r>
      <w:r>
        <w:rPr>
          <w:rFonts w:hint="eastAsia" w:eastAsia="楷体_GB2312"/>
          <w:kern w:val="0"/>
          <w:szCs w:val="32"/>
          <w:shd w:val="clear" w:color="auto" w:fill="FFFFFF"/>
          <w:lang w:val="zh-CN"/>
        </w:rPr>
        <w:t>支出情况</w:t>
      </w:r>
      <w:r>
        <w:rPr>
          <w:rFonts w:eastAsia="楷体_GB2312"/>
          <w:kern w:val="0"/>
          <w:szCs w:val="32"/>
          <w:shd w:val="clear" w:color="auto" w:fill="FFFFFF"/>
          <w:lang w:val="zh-CN"/>
        </w:rPr>
        <w:t>。</w:t>
      </w:r>
      <w:r>
        <w:rPr>
          <w:rFonts w:hint="eastAsia" w:ascii="仿宋_GB2312" w:hAnsi="仿宋_GB2312" w:cs="仿宋_GB2312"/>
          <w:szCs w:val="32"/>
          <w:lang w:val="zh-CN"/>
        </w:rPr>
        <w:t>市国资委</w:t>
      </w:r>
      <w:r>
        <w:rPr>
          <w:rFonts w:hint="eastAsia" w:ascii="仿宋_GB2312" w:hAnsi="仿宋_GB2312" w:cs="仿宋_GB2312"/>
          <w:szCs w:val="32"/>
        </w:rPr>
        <w:t>部门2023年年初预算支出1580.39万元，全年预算支出23250.37万元，决算支出23217.19万元。其中，基本支出1208.35万元，项目支出22028.94万元。</w:t>
      </w:r>
    </w:p>
    <w:p>
      <w:pPr>
        <w:widowControl/>
        <w:adjustRightInd w:val="0"/>
        <w:snapToGrid w:val="0"/>
        <w:spacing w:line="576" w:lineRule="exact"/>
        <w:ind w:firstLine="640" w:firstLineChars="200"/>
        <w:contextualSpacing/>
        <w:jc w:val="left"/>
        <w:rPr>
          <w:rFonts w:ascii="仿宋_GB2312" w:hAnsi="仿宋_GB2312" w:cs="仿宋_GB2312"/>
          <w:color w:val="C00000"/>
          <w:szCs w:val="32"/>
          <w:lang w:val="zh-CN"/>
        </w:rPr>
      </w:pPr>
      <w:r>
        <w:rPr>
          <w:rFonts w:eastAsia="楷体_GB2312"/>
          <w:kern w:val="0"/>
          <w:szCs w:val="32"/>
          <w:shd w:val="clear" w:color="auto" w:fill="FFFFFF"/>
          <w:lang w:val="zh-CN"/>
        </w:rPr>
        <w:t>（</w:t>
      </w:r>
      <w:r>
        <w:rPr>
          <w:rFonts w:hint="eastAsia" w:eastAsia="楷体_GB2312"/>
          <w:kern w:val="0"/>
          <w:szCs w:val="32"/>
          <w:shd w:val="clear" w:color="auto" w:fill="FFFFFF"/>
          <w:lang w:val="zh-CN"/>
        </w:rPr>
        <w:t>三</w:t>
      </w:r>
      <w:r>
        <w:rPr>
          <w:rFonts w:eastAsia="楷体_GB2312"/>
          <w:kern w:val="0"/>
          <w:szCs w:val="32"/>
          <w:shd w:val="clear" w:color="auto" w:fill="FFFFFF"/>
          <w:lang w:val="zh-CN"/>
        </w:rPr>
        <w:t>）</w:t>
      </w:r>
      <w:r>
        <w:rPr>
          <w:rFonts w:eastAsia="楷体_GB2312"/>
          <w:szCs w:val="32"/>
        </w:rPr>
        <w:t>结转结余情况</w:t>
      </w:r>
      <w:r>
        <w:rPr>
          <w:rFonts w:hint="eastAsia" w:eastAsia="楷体_GB2312"/>
          <w:szCs w:val="32"/>
        </w:rPr>
        <w:t>。</w:t>
      </w:r>
      <w:r>
        <w:rPr>
          <w:rFonts w:hint="eastAsia" w:ascii="仿宋_GB2312" w:hAnsi="仿宋_GB2312" w:cs="仿宋_GB2312"/>
          <w:szCs w:val="32"/>
        </w:rPr>
        <w:t>市国资委部门2023年年初结转和结余36.78万元，年末结转和结余13.17万元。</w:t>
      </w:r>
    </w:p>
    <w:p>
      <w:pPr>
        <w:widowControl/>
        <w:adjustRightInd w:val="0"/>
        <w:snapToGrid w:val="0"/>
        <w:spacing w:line="576" w:lineRule="exact"/>
        <w:ind w:firstLine="640" w:firstLineChars="200"/>
        <w:contextualSpacing/>
        <w:jc w:val="left"/>
        <w:rPr>
          <w:rFonts w:eastAsia="黑体"/>
          <w:color w:val="000000" w:themeColor="text1"/>
          <w:kern w:val="0"/>
          <w:szCs w:val="32"/>
          <w:shd w:val="clear" w:color="auto" w:fill="FFFFFF"/>
          <w14:textFill>
            <w14:solidFill>
              <w14:schemeClr w14:val="tx1"/>
            </w14:solidFill>
          </w14:textFill>
        </w:rPr>
      </w:pPr>
      <w:r>
        <w:rPr>
          <w:rFonts w:eastAsia="黑体"/>
          <w:color w:val="000000"/>
          <w:kern w:val="0"/>
          <w:szCs w:val="32"/>
          <w:shd w:val="clear" w:color="auto" w:fill="FFFFFF"/>
        </w:rPr>
        <w:t>三、部门预算绩效分析</w:t>
      </w:r>
    </w:p>
    <w:p>
      <w:pPr>
        <w:adjustRightInd w:val="0"/>
        <w:snapToGrid w:val="0"/>
        <w:spacing w:line="576" w:lineRule="exact"/>
        <w:ind w:firstLine="640" w:firstLineChars="200"/>
        <w:contextualSpacing/>
        <w:jc w:val="left"/>
        <w:rPr>
          <w:rFonts w:ascii="仿宋_GB2312" w:hAnsi="仿宋_GB2312" w:cs="仿宋_GB2312"/>
          <w:kern w:val="0"/>
          <w:szCs w:val="32"/>
          <w:shd w:val="clear" w:color="auto" w:fill="FFFFFF"/>
          <w:lang w:val="zh-CN"/>
        </w:rPr>
      </w:pPr>
      <w:r>
        <w:rPr>
          <w:rFonts w:eastAsia="楷体_GB2312"/>
          <w:kern w:val="0"/>
          <w:szCs w:val="32"/>
          <w:shd w:val="clear" w:color="auto" w:fill="FFFFFF"/>
          <w:lang w:val="zh-CN"/>
        </w:rPr>
        <w:t>（一）</w:t>
      </w:r>
      <w:r>
        <w:rPr>
          <w:rFonts w:hint="eastAsia" w:eastAsia="楷体_GB2312"/>
          <w:kern w:val="0"/>
          <w:szCs w:val="32"/>
          <w:shd w:val="clear" w:color="auto" w:fill="FFFFFF"/>
          <w:lang w:val="zh-CN"/>
        </w:rPr>
        <w:t>部门预算</w:t>
      </w:r>
      <w:r>
        <w:rPr>
          <w:rFonts w:eastAsia="楷体_GB2312"/>
          <w:kern w:val="0"/>
          <w:szCs w:val="32"/>
          <w:shd w:val="clear" w:color="auto" w:fill="FFFFFF"/>
          <w:lang w:val="zh-CN"/>
        </w:rPr>
        <w:t>总体绩效分析。</w:t>
      </w:r>
      <w:r>
        <w:rPr>
          <w:rFonts w:hint="eastAsia" w:ascii="仿宋_GB2312" w:hAnsi="仿宋_GB2312" w:cs="仿宋_GB2312"/>
          <w:kern w:val="0"/>
          <w:szCs w:val="32"/>
          <w:shd w:val="clear" w:color="auto" w:fill="FFFFFF"/>
          <w:lang w:val="zh-CN"/>
        </w:rPr>
        <w:t>根据</w:t>
      </w:r>
      <w:r>
        <w:rPr>
          <w:rFonts w:hint="eastAsia" w:ascii="仿宋_GB2312" w:hAnsi="仿宋_GB2312" w:cs="仿宋_GB2312"/>
          <w:szCs w:val="32"/>
        </w:rPr>
        <w:t>部门整体绩效评价评分表</w:t>
      </w:r>
      <w:r>
        <w:rPr>
          <w:rFonts w:hint="eastAsia" w:ascii="仿宋_GB2312" w:hAnsi="仿宋_GB2312" w:cs="仿宋_GB2312"/>
          <w:kern w:val="0"/>
          <w:szCs w:val="32"/>
          <w:shd w:val="clear" w:color="auto" w:fill="FFFFFF"/>
          <w:lang w:val="zh-CN"/>
        </w:rPr>
        <w:t>“总体绩效”涉及二、三级指标进行逐项绩效分析并评分，依次包括履职效能、预算管理、财务管理、资产管理、采购管理等情况。</w:t>
      </w:r>
    </w:p>
    <w:p>
      <w:pPr>
        <w:adjustRightInd w:val="0"/>
        <w:snapToGrid w:val="0"/>
        <w:spacing w:line="576" w:lineRule="exact"/>
        <w:ind w:firstLine="640" w:firstLineChars="200"/>
        <w:contextualSpacing/>
        <w:jc w:val="left"/>
        <w:rPr>
          <w:rFonts w:ascii="仿宋_GB2312" w:hAnsi="仿宋_GB2312" w:cs="仿宋_GB2312"/>
          <w:color w:val="FF0000"/>
          <w:kern w:val="0"/>
          <w:szCs w:val="32"/>
          <w:shd w:val="clear" w:color="auto" w:fill="FFFFFF"/>
        </w:rPr>
      </w:pPr>
      <w:r>
        <w:rPr>
          <w:rFonts w:hint="eastAsia" w:ascii="仿宋_GB2312" w:hAnsi="仿宋_GB2312" w:cs="仿宋_GB2312"/>
          <w:kern w:val="0"/>
          <w:szCs w:val="32"/>
          <w:shd w:val="clear" w:color="auto" w:fill="FFFFFF"/>
        </w:rPr>
        <w:t>1.</w:t>
      </w:r>
      <w:r>
        <w:rPr>
          <w:rFonts w:hint="eastAsia" w:ascii="仿宋_GB2312" w:hAnsi="仿宋_GB2312" w:cs="仿宋_GB2312"/>
          <w:kern w:val="0"/>
          <w:szCs w:val="32"/>
          <w:shd w:val="clear" w:color="auto" w:fill="FFFFFF"/>
          <w:lang w:val="zh-CN"/>
        </w:rPr>
        <w:t>履职效能。</w:t>
      </w:r>
      <w:r>
        <w:rPr>
          <w:rFonts w:hint="eastAsia" w:ascii="仿宋_GB2312" w:hAnsi="仿宋_GB2312" w:cs="仿宋_GB2312"/>
          <w:kern w:val="0"/>
          <w:szCs w:val="32"/>
          <w:shd w:val="clear" w:color="auto" w:fill="FFFFFF"/>
        </w:rPr>
        <w:t>2023年，我委监督管理11家</w:t>
      </w:r>
      <w:r>
        <w:rPr>
          <w:rFonts w:hint="eastAsia" w:ascii="仿宋_GB2312" w:hAnsi="仿宋_GB2312" w:cs="仿宋_GB2312"/>
          <w:kern w:val="0"/>
          <w:szCs w:val="32"/>
          <w:shd w:val="clear" w:color="auto" w:fill="FFFFFF"/>
          <w:lang w:val="zh-CN"/>
        </w:rPr>
        <w:t>市属国有企业</w:t>
      </w:r>
      <w:r>
        <w:rPr>
          <w:rFonts w:hint="eastAsia" w:ascii="仿宋_GB2312" w:hAnsi="仿宋_GB2312" w:cs="仿宋_GB2312"/>
          <w:kern w:val="0"/>
          <w:szCs w:val="32"/>
          <w:shd w:val="clear" w:color="auto" w:fill="FFFFFF"/>
        </w:rPr>
        <w:t>，</w:t>
      </w:r>
      <w:r>
        <w:rPr>
          <w:rFonts w:hint="eastAsia" w:ascii="仿宋" w:hAnsi="仿宋" w:eastAsia="仿宋" w:cs="仿宋_GB2312"/>
          <w:lang w:val="zh-CN" w:bidi="ar"/>
        </w:rPr>
        <w:t>布署安排重点改革工作，推动改革任务落地落实，</w:t>
      </w:r>
      <w:r>
        <w:rPr>
          <w:rFonts w:hint="eastAsia" w:ascii="仿宋_GB2312" w:hAnsi="仿宋_GB2312" w:cs="仿宋_GB2312"/>
          <w:kern w:val="0"/>
          <w:szCs w:val="32"/>
          <w:shd w:val="clear" w:color="auto" w:fill="FFFFFF"/>
        </w:rPr>
        <w:t>完成指导企业11家绩效目标；</w:t>
      </w:r>
      <w:r>
        <w:rPr>
          <w:rFonts w:hint="eastAsia" w:ascii="仿宋" w:hAnsi="仿宋" w:eastAsia="仿宋" w:cs="仿宋_GB2312"/>
          <w:lang w:val="zh-CN" w:bidi="ar"/>
        </w:rPr>
        <w:t>大力开展招商引资工作，完成项目调研、项目包装、赴京赴省争取项目资金等工作，积极争取省企广元行活动，</w:t>
      </w:r>
      <w:r>
        <w:rPr>
          <w:rFonts w:hint="eastAsia" w:ascii="仿宋_GB2312" w:hAnsi="仿宋_GB2312" w:cs="仿宋_GB2312"/>
          <w:kern w:val="0"/>
          <w:szCs w:val="32"/>
          <w:shd w:val="clear" w:color="auto" w:fill="FFFFFF"/>
        </w:rPr>
        <w:t>组织相关业务科室、市属国有企业开展考察活动、外出招商6次，完成组织开展考察活动、外出招商5次绩效目标；深化企地合作、促进市属国有企业开拓市场、高质量发展，完成该项目标任务；</w:t>
      </w:r>
      <w:r>
        <w:rPr>
          <w:rFonts w:hint="eastAsia" w:ascii="仿宋_GB2312" w:hAnsi="仿宋_GB2312" w:cs="仿宋_GB2312"/>
          <w:szCs w:val="32"/>
        </w:rPr>
        <w:t>坚持守正创新，围绕构建大监督工作格局，全面优化国资国企监督体系建设，</w:t>
      </w:r>
      <w:r>
        <w:rPr>
          <w:rFonts w:hint="eastAsia" w:ascii="仿宋_GB2312" w:hAnsi="仿宋_GB2312" w:cs="仿宋_GB2312"/>
          <w:kern w:val="0"/>
          <w:szCs w:val="32"/>
          <w:shd w:val="clear" w:color="auto" w:fill="FFFFFF"/>
        </w:rPr>
        <w:t>极大地提高了国资监管水平，完成国资监管提升率高的绩效目标；企业满意度高达95%，完成企业满意度90%目标任务。自评15分。</w:t>
      </w:r>
    </w:p>
    <w:p>
      <w:pPr>
        <w:adjustRightInd w:val="0"/>
        <w:snapToGrid w:val="0"/>
        <w:spacing w:line="576" w:lineRule="exact"/>
        <w:ind w:firstLine="640" w:firstLineChars="200"/>
        <w:contextualSpacing/>
        <w:jc w:val="left"/>
        <w:rPr>
          <w:rFonts w:ascii="仿宋_GB2312" w:hAnsi="仿宋_GB2312" w:cs="仿宋_GB2312"/>
          <w:kern w:val="0"/>
          <w:szCs w:val="32"/>
          <w:shd w:val="clear" w:color="auto" w:fill="FFFFFF"/>
        </w:rPr>
      </w:pPr>
      <w:r>
        <w:rPr>
          <w:rFonts w:hint="eastAsia" w:ascii="仿宋_GB2312" w:hAnsi="仿宋_GB2312" w:cs="仿宋_GB2312"/>
          <w:kern w:val="0"/>
          <w:szCs w:val="32"/>
          <w:shd w:val="clear" w:color="auto" w:fill="FFFFFF"/>
        </w:rPr>
        <w:t>2.</w:t>
      </w:r>
      <w:r>
        <w:rPr>
          <w:rFonts w:hint="eastAsia" w:ascii="仿宋_GB2312" w:hAnsi="仿宋_GB2312" w:cs="仿宋_GB2312"/>
          <w:kern w:val="0"/>
          <w:szCs w:val="32"/>
          <w:shd w:val="clear" w:color="auto" w:fill="FFFFFF"/>
          <w:lang w:val="zh-CN"/>
        </w:rPr>
        <w:t>预算管理。我委已制定《预算管理制度》，持续加强对预算执行过程的控制和结果的反馈，对预算执行差异及时分析成因和影响，并及时向领导和相关科室进行反馈，以采取措施纠正执行偏差，促进预算目标的全面完成。</w:t>
      </w:r>
      <w:r>
        <w:rPr>
          <w:rFonts w:hint="eastAsia" w:ascii="仿宋_GB2312" w:hAnsi="仿宋_GB2312" w:cs="仿宋_GB2312"/>
          <w:kern w:val="0"/>
          <w:szCs w:val="32"/>
          <w:shd w:val="clear" w:color="auto" w:fill="FFFFFF"/>
        </w:rPr>
        <w:t>2023年度</w:t>
      </w:r>
      <w:r>
        <w:rPr>
          <w:rFonts w:hint="eastAsia" w:ascii="仿宋_GB2312" w:hAnsi="仿宋_GB2312" w:cs="仿宋_GB2312"/>
          <w:szCs w:val="32"/>
        </w:rPr>
        <w:t>全年预算收入23213.59万元，决算收入23213.59万元，说明我委预算编制精准度高，预算执行进度正常。我委严控“三公”经费、会议、培训、差旅、办公设备购置、信息网络等一般性支出，均在年初预算内执行，完成相关绩效目标。年初预算1530.39万元低于2022年初预算2542.16万元，一般性支出财政拨款预算执行23213.59万元低于2022年预算执行37710.48万元，均有所压减。但因10月底我委收到企业项目1520万，11月初将资金转拨给企业，导致我委10月预算执行进度降低，扣除相应分数。自评24.84分。</w:t>
      </w:r>
    </w:p>
    <w:p>
      <w:pPr>
        <w:adjustRightInd w:val="0"/>
        <w:snapToGrid w:val="0"/>
        <w:spacing w:line="576" w:lineRule="exact"/>
        <w:ind w:firstLine="640" w:firstLineChars="200"/>
        <w:contextualSpacing/>
        <w:jc w:val="left"/>
        <w:rPr>
          <w:rFonts w:ascii="仿宋_GB2312" w:hAnsi="仿宋_GB2312" w:cs="仿宋_GB2312"/>
          <w:kern w:val="0"/>
          <w:szCs w:val="32"/>
          <w:shd w:val="clear" w:color="auto" w:fill="FFFFFF"/>
        </w:rPr>
      </w:pPr>
      <w:r>
        <w:rPr>
          <w:rFonts w:hint="eastAsia" w:ascii="仿宋_GB2312" w:hAnsi="仿宋_GB2312" w:cs="仿宋_GB2312"/>
          <w:kern w:val="0"/>
          <w:szCs w:val="32"/>
          <w:shd w:val="clear" w:color="auto" w:fill="FFFFFF"/>
        </w:rPr>
        <w:t>3.</w:t>
      </w:r>
      <w:r>
        <w:rPr>
          <w:rFonts w:hint="eastAsia" w:ascii="仿宋_GB2312" w:hAnsi="仿宋_GB2312" w:cs="仿宋_GB2312"/>
          <w:kern w:val="0"/>
          <w:szCs w:val="32"/>
          <w:shd w:val="clear" w:color="auto" w:fill="FFFFFF"/>
          <w:lang w:val="zh-CN"/>
        </w:rPr>
        <w:t>财务管理。我委已制定内部《财务管理制度》，并严格按照财务管理制度执行，明确会计、出纳岗位职责，严格实行不相容岗位分离，资金使用按照财务管理制度规定执行，无违规违法现象。自评</w:t>
      </w:r>
      <w:r>
        <w:rPr>
          <w:rFonts w:hint="eastAsia" w:ascii="仿宋_GB2312" w:hAnsi="仿宋_GB2312" w:cs="仿宋_GB2312"/>
          <w:kern w:val="0"/>
          <w:szCs w:val="32"/>
          <w:shd w:val="clear" w:color="auto" w:fill="FFFFFF"/>
        </w:rPr>
        <w:t>10分。</w:t>
      </w:r>
    </w:p>
    <w:p>
      <w:pPr>
        <w:adjustRightInd w:val="0"/>
        <w:snapToGrid w:val="0"/>
        <w:spacing w:line="576" w:lineRule="exact"/>
        <w:ind w:firstLine="640" w:firstLineChars="200"/>
        <w:contextualSpacing/>
        <w:jc w:val="left"/>
        <w:rPr>
          <w:rFonts w:ascii="仿宋_GB2312" w:hAnsi="仿宋_GB2312" w:cs="仿宋_GB2312"/>
          <w:color w:val="C00000"/>
          <w:kern w:val="0"/>
          <w:szCs w:val="32"/>
          <w:shd w:val="clear" w:color="auto" w:fill="FFFFFF"/>
        </w:rPr>
      </w:pPr>
      <w:r>
        <w:rPr>
          <w:rFonts w:hint="eastAsia" w:ascii="仿宋_GB2312" w:hAnsi="仿宋_GB2312" w:cs="仿宋_GB2312"/>
          <w:kern w:val="0"/>
          <w:szCs w:val="32"/>
          <w:shd w:val="clear" w:color="auto" w:fill="FFFFFF"/>
        </w:rPr>
        <w:t>4.</w:t>
      </w:r>
      <w:r>
        <w:rPr>
          <w:rFonts w:hint="eastAsia" w:ascii="仿宋_GB2312" w:hAnsi="仿宋_GB2312" w:cs="仿宋_GB2312"/>
          <w:kern w:val="0"/>
          <w:szCs w:val="32"/>
          <w:shd w:val="clear" w:color="auto" w:fill="FFFFFF"/>
          <w:lang w:val="zh-CN"/>
        </w:rPr>
        <w:t>资产管理。</w:t>
      </w:r>
      <w:r>
        <w:rPr>
          <w:rFonts w:hint="eastAsia" w:ascii="仿宋_GB2312" w:hAnsi="仿宋_GB2312" w:cs="仿宋_GB2312"/>
          <w:kern w:val="0"/>
          <w:szCs w:val="32"/>
          <w:shd w:val="clear" w:color="auto" w:fill="FFFFFF"/>
        </w:rPr>
        <w:t>2023年，</w:t>
      </w:r>
      <w:r>
        <w:rPr>
          <w:rFonts w:hint="eastAsia" w:ascii="仿宋_GB2312" w:hAnsi="仿宋_GB2312" w:cs="仿宋_GB2312"/>
          <w:kern w:val="0"/>
          <w:szCs w:val="32"/>
          <w:shd w:val="clear" w:color="auto" w:fill="FFFFFF"/>
          <w:lang w:val="zh-CN"/>
        </w:rPr>
        <w:t>我部门新购固定资产</w:t>
      </w:r>
      <w:r>
        <w:rPr>
          <w:rFonts w:hint="eastAsia" w:ascii="仿宋_GB2312" w:hAnsi="仿宋_GB2312" w:cs="仿宋_GB2312"/>
          <w:kern w:val="0"/>
          <w:szCs w:val="32"/>
          <w:shd w:val="clear" w:color="auto" w:fill="FFFFFF"/>
        </w:rPr>
        <w:t>7个，人均资产变化率（增长率）为-1.75%，小于市直行政事业单位人均资产变化率3.13%，小于市级财政收入增长率6.9%，此项得3分。办公家具超最低使用年限资产利用率为10.78%，办公设备超最低使用年限资产利用率为28.85%，此项得0.9分。我委所有资产均在使用，无闲置资产。资产管理自评6.9分。</w:t>
      </w:r>
    </w:p>
    <w:p>
      <w:pPr>
        <w:adjustRightInd w:val="0"/>
        <w:snapToGrid w:val="0"/>
        <w:spacing w:line="576" w:lineRule="exact"/>
        <w:ind w:firstLine="640" w:firstLineChars="200"/>
        <w:contextualSpacing/>
        <w:jc w:val="left"/>
        <w:rPr>
          <w:rFonts w:ascii="楷体_GB2312" w:hAnsi="楷体_GB2312" w:cs="楷体_GB2312"/>
          <w:color w:val="C00000"/>
          <w:kern w:val="0"/>
          <w:szCs w:val="32"/>
          <w:shd w:val="clear" w:color="auto" w:fill="FFFFFF"/>
        </w:rPr>
      </w:pPr>
      <w:r>
        <w:rPr>
          <w:rFonts w:hint="eastAsia" w:ascii="仿宋_GB2312" w:hAnsi="仿宋_GB2312" w:cs="仿宋_GB2312"/>
          <w:kern w:val="0"/>
          <w:szCs w:val="32"/>
          <w:shd w:val="clear" w:color="auto" w:fill="FFFFFF"/>
        </w:rPr>
        <w:t>5.</w:t>
      </w:r>
      <w:r>
        <w:rPr>
          <w:rFonts w:hint="eastAsia" w:ascii="仿宋_GB2312" w:hAnsi="仿宋_GB2312" w:cs="仿宋_GB2312"/>
          <w:kern w:val="0"/>
          <w:szCs w:val="32"/>
          <w:shd w:val="clear" w:color="auto" w:fill="FFFFFF"/>
          <w:lang w:val="zh-CN"/>
        </w:rPr>
        <w:t>采购管理。我委去年采购碎纸机</w:t>
      </w:r>
      <w:r>
        <w:rPr>
          <w:rFonts w:hint="eastAsia" w:ascii="仿宋_GB2312" w:hAnsi="仿宋_GB2312" w:cs="仿宋_GB2312"/>
          <w:kern w:val="0"/>
          <w:szCs w:val="32"/>
          <w:shd w:val="clear" w:color="auto" w:fill="FFFFFF"/>
        </w:rPr>
        <w:t>2台、笔记本电脑2台、保密柜2个、复印机1台、复印纸一批，均在中小企业采购。年初采购预算7.9万元，全年采购执行额为7.66万元，节约0.24万元，采购执行率100%</w:t>
      </w:r>
      <w:r>
        <w:rPr>
          <w:rFonts w:hint="eastAsia" w:ascii="仿宋_GB2312" w:hAnsi="仿宋_GB2312" w:cs="仿宋_GB2312"/>
          <w:kern w:val="0"/>
          <w:szCs w:val="32"/>
          <w:shd w:val="clear" w:color="auto" w:fill="FFFFFF"/>
          <w:lang w:val="zh-CN"/>
        </w:rPr>
        <w:t>。自评</w:t>
      </w:r>
      <w:r>
        <w:rPr>
          <w:rFonts w:hint="eastAsia" w:ascii="仿宋_GB2312" w:hAnsi="仿宋_GB2312" w:cs="仿宋_GB2312"/>
          <w:kern w:val="0"/>
          <w:szCs w:val="32"/>
          <w:shd w:val="clear" w:color="auto" w:fill="FFFFFF"/>
        </w:rPr>
        <w:t>6分。</w:t>
      </w:r>
    </w:p>
    <w:p>
      <w:pPr>
        <w:spacing w:line="576" w:lineRule="exact"/>
        <w:ind w:firstLine="640" w:firstLineChars="200"/>
        <w:rPr>
          <w:rFonts w:ascii="仿宋_GB2312" w:hAnsi="仿宋_GB2312" w:cs="仿宋_GB2312"/>
          <w:szCs w:val="32"/>
        </w:rPr>
      </w:pPr>
      <w:r>
        <w:rPr>
          <w:rFonts w:eastAsia="楷体_GB2312"/>
          <w:kern w:val="0"/>
          <w:szCs w:val="32"/>
          <w:shd w:val="clear" w:color="auto" w:fill="FFFFFF"/>
          <w:lang w:val="zh-CN"/>
        </w:rPr>
        <w:t>（二）部门预算项目绩效分析。</w:t>
      </w:r>
    </w:p>
    <w:p>
      <w:pPr>
        <w:spacing w:line="576" w:lineRule="exact"/>
        <w:ind w:firstLine="640" w:firstLineChars="200"/>
        <w:rPr>
          <w:rFonts w:ascii="仿宋_GB2312" w:hAnsi="仿宋_GB2312" w:cs="仿宋_GB2312"/>
          <w:szCs w:val="32"/>
          <w:lang w:val="zh-CN"/>
        </w:rPr>
      </w:pPr>
      <w:r>
        <w:rPr>
          <w:rFonts w:ascii="仿宋_GB2312" w:hAnsi="仿宋_GB2312" w:cs="仿宋_GB2312"/>
          <w:szCs w:val="32"/>
          <w:lang w:val="zh-CN"/>
        </w:rPr>
        <w:t>项目总数</w:t>
      </w:r>
      <w:r>
        <w:rPr>
          <w:rFonts w:hint="eastAsia" w:ascii="仿宋_GB2312" w:hAnsi="仿宋_GB2312" w:cs="仿宋_GB2312"/>
          <w:szCs w:val="32"/>
        </w:rPr>
        <w:t>31</w:t>
      </w:r>
      <w:r>
        <w:rPr>
          <w:rFonts w:ascii="仿宋_GB2312" w:hAnsi="仿宋_GB2312" w:cs="仿宋_GB2312"/>
          <w:szCs w:val="32"/>
          <w:lang w:val="zh-CN"/>
        </w:rPr>
        <w:t>个，涉及预算总金额23291.54万元，1</w:t>
      </w:r>
      <w:r>
        <w:rPr>
          <w:rFonts w:hint="eastAsia" w:ascii="仿宋_GB2312" w:hAnsi="仿宋_GB2312" w:cs="仿宋_GB2312"/>
          <w:szCs w:val="32"/>
          <w:lang w:val="zh-CN"/>
        </w:rPr>
        <w:t>—</w:t>
      </w:r>
      <w:r>
        <w:rPr>
          <w:rFonts w:ascii="仿宋_GB2312" w:hAnsi="仿宋_GB2312" w:cs="仿宋_GB2312"/>
          <w:szCs w:val="32"/>
          <w:lang w:val="zh-CN"/>
        </w:rPr>
        <w:t>1</w:t>
      </w:r>
      <w:r>
        <w:rPr>
          <w:rFonts w:ascii="仿宋_GB2312" w:hAnsi="仿宋_GB2312" w:cs="仿宋_GB2312"/>
          <w:szCs w:val="32"/>
        </w:rPr>
        <w:t>2</w:t>
      </w:r>
      <w:r>
        <w:rPr>
          <w:rFonts w:ascii="仿宋_GB2312" w:hAnsi="仿宋_GB2312" w:cs="仿宋_GB2312"/>
          <w:szCs w:val="32"/>
          <w:lang w:val="zh-CN"/>
        </w:rPr>
        <w:t>月预算执行总体进度为</w:t>
      </w:r>
      <w:r>
        <w:rPr>
          <w:rFonts w:hint="eastAsia" w:ascii="仿宋_GB2312" w:hAnsi="仿宋_GB2312" w:cs="仿宋_GB2312"/>
          <w:szCs w:val="32"/>
        </w:rPr>
        <w:t>100</w:t>
      </w:r>
      <w:r>
        <w:rPr>
          <w:rFonts w:ascii="仿宋_GB2312" w:hAnsi="仿宋_GB2312" w:cs="仿宋_GB2312"/>
          <w:szCs w:val="32"/>
          <w:lang w:val="zh-CN"/>
        </w:rPr>
        <w:t>%，其中：预算结余率大于</w:t>
      </w:r>
      <w:r>
        <w:rPr>
          <w:rFonts w:ascii="仿宋_GB2312" w:hAnsi="仿宋_GB2312" w:cs="仿宋_GB2312"/>
          <w:szCs w:val="32"/>
        </w:rPr>
        <w:t>10%</w:t>
      </w:r>
      <w:r>
        <w:rPr>
          <w:rFonts w:ascii="仿宋_GB2312" w:hAnsi="仿宋_GB2312" w:cs="仿宋_GB2312"/>
          <w:szCs w:val="32"/>
          <w:lang w:val="zh-CN"/>
        </w:rPr>
        <w:t>的项目共计</w:t>
      </w:r>
      <w:r>
        <w:rPr>
          <w:rFonts w:hint="eastAsia" w:ascii="仿宋_GB2312" w:hAnsi="仿宋_GB2312" w:cs="仿宋_GB2312"/>
          <w:szCs w:val="32"/>
        </w:rPr>
        <w:t>0</w:t>
      </w:r>
      <w:r>
        <w:rPr>
          <w:rFonts w:ascii="仿宋_GB2312" w:hAnsi="仿宋_GB2312" w:cs="仿宋_GB2312"/>
          <w:szCs w:val="32"/>
          <w:lang w:val="zh-CN"/>
        </w:rPr>
        <w:t>个。</w:t>
      </w:r>
    </w:p>
    <w:p>
      <w:pPr>
        <w:spacing w:line="576" w:lineRule="exact"/>
        <w:ind w:firstLine="640" w:firstLineChars="200"/>
        <w:rPr>
          <w:rFonts w:ascii="仿宋_GB2312" w:hAnsi="仿宋_GB2312" w:cs="仿宋_GB2312"/>
          <w:szCs w:val="32"/>
        </w:rPr>
      </w:pPr>
      <w:r>
        <w:rPr>
          <w:rFonts w:hint="eastAsia" w:ascii="仿宋_GB2312" w:hAnsi="仿宋_GB2312" w:cs="仿宋_GB2312"/>
          <w:szCs w:val="32"/>
        </w:rPr>
        <w:t>1.</w:t>
      </w:r>
      <w:r>
        <w:rPr>
          <w:rFonts w:hint="eastAsia" w:ascii="仿宋_GB2312" w:hAnsi="仿宋_GB2312" w:cs="仿宋_GB2312"/>
          <w:szCs w:val="32"/>
          <w:lang w:val="zh-CN"/>
        </w:rPr>
        <w:t>项目决策。我委</w:t>
      </w:r>
      <w:r>
        <w:rPr>
          <w:rFonts w:hint="eastAsia" w:ascii="仿宋_GB2312" w:hAnsi="仿宋_GB2312" w:cs="仿宋_GB2312"/>
          <w:szCs w:val="32"/>
        </w:rPr>
        <w:t>2023年预算由委办公室牵头、会同相关业务科室编制初稿，经财务负责人、分管领导审核后，提交国资委党委会审议，最后报市财政局对口科室。所有项目均根据工作计划编写绩效目标表，进行事前绩效评估，严格按照流程进行项目入库。部门预算项目绩效目标与计划期内的任务量、预算安排的资金量匹配，绩效目标设置科学合理、规范完整、量化细化，均在规定时间完成项目入库。自评12分。</w:t>
      </w:r>
    </w:p>
    <w:p>
      <w:pPr>
        <w:spacing w:line="576" w:lineRule="exact"/>
        <w:ind w:firstLine="640" w:firstLineChars="200"/>
        <w:rPr>
          <w:rFonts w:ascii="仿宋_GB2312" w:hAnsi="仿宋_GB2312" w:cs="仿宋_GB2312"/>
          <w:szCs w:val="32"/>
        </w:rPr>
      </w:pPr>
      <w:r>
        <w:rPr>
          <w:rFonts w:hint="eastAsia" w:ascii="仿宋_GB2312" w:hAnsi="仿宋_GB2312" w:cs="仿宋_GB2312"/>
          <w:szCs w:val="32"/>
        </w:rPr>
        <w:t>2.项目执行</w:t>
      </w:r>
      <w:r>
        <w:rPr>
          <w:rFonts w:hint="eastAsia" w:ascii="仿宋_GB2312" w:hAnsi="仿宋_GB2312" w:cs="仿宋_GB2312"/>
          <w:szCs w:val="32"/>
          <w:lang w:val="zh-CN"/>
        </w:rPr>
        <w:t>。</w:t>
      </w:r>
      <w:r>
        <w:rPr>
          <w:rFonts w:hint="eastAsia" w:ascii="仿宋_GB2312" w:hAnsi="仿宋_GB2312" w:cs="仿宋_GB2312"/>
          <w:szCs w:val="32"/>
        </w:rPr>
        <w:t>2023年，我委项目资金部门预算项目实际列支内容与绩效目标设置方向相符，严格按照预算调整要求调整预算，部门预算结余率均小于10%。自评12分。</w:t>
      </w:r>
    </w:p>
    <w:p>
      <w:pPr>
        <w:spacing w:line="576" w:lineRule="exact"/>
        <w:ind w:firstLine="640" w:firstLineChars="200"/>
        <w:rPr>
          <w:kern w:val="0"/>
          <w:szCs w:val="32"/>
          <w:shd w:val="clear" w:color="auto" w:fill="FFFFFF"/>
        </w:rPr>
      </w:pPr>
      <w:r>
        <w:rPr>
          <w:rFonts w:hint="eastAsia" w:ascii="仿宋_GB2312" w:hAnsi="仿宋_GB2312" w:cs="仿宋_GB2312"/>
          <w:szCs w:val="32"/>
        </w:rPr>
        <w:t>3.</w:t>
      </w:r>
      <w:r>
        <w:rPr>
          <w:rFonts w:hint="eastAsia" w:ascii="仿宋_GB2312" w:hAnsi="仿宋_GB2312" w:cs="仿宋_GB2312"/>
          <w:szCs w:val="32"/>
          <w:lang w:val="zh-CN"/>
        </w:rPr>
        <w:t>目标实现。所有项目基本完成绩效目标，偏离度在30%以内，绩效指标已完成，</w:t>
      </w:r>
      <w:r>
        <w:rPr>
          <w:rFonts w:hint="eastAsia"/>
          <w:kern w:val="0"/>
          <w:szCs w:val="32"/>
          <w:shd w:val="clear" w:color="auto" w:fill="FFFFFF"/>
          <w:lang w:val="zh-CN"/>
        </w:rPr>
        <w:t>所有项目基本完成绩效目标。自评</w:t>
      </w:r>
      <w:r>
        <w:rPr>
          <w:rFonts w:hint="eastAsia"/>
          <w:kern w:val="0"/>
          <w:szCs w:val="32"/>
          <w:shd w:val="clear" w:color="auto" w:fill="FFFFFF"/>
        </w:rPr>
        <w:t>11分。</w:t>
      </w:r>
    </w:p>
    <w:p>
      <w:pPr>
        <w:pStyle w:val="40"/>
        <w:spacing w:before="93"/>
        <w:rPr>
          <w:rFonts w:ascii="仿宋_GB2312" w:hAnsi="仿宋_GB2312" w:eastAsia="仿宋_GB2312" w:cs="仿宋_GB2312"/>
        </w:rPr>
      </w:pPr>
      <w:r>
        <w:rPr>
          <w:rFonts w:hint="eastAsia" w:ascii="仿宋_GB2312" w:hAnsi="仿宋_GB2312" w:eastAsia="仿宋_GB2312" w:cs="仿宋_GB2312"/>
        </w:rPr>
        <w:t>4.预算绩效存在问题。根据市审计局对我委开展的2023年部门预算执行审计报告（广审行报﹝2024﹞11号），预算管理扣1分、资产管理扣1分。自评扣2分。</w:t>
      </w:r>
    </w:p>
    <w:p>
      <w:pPr>
        <w:widowControl/>
        <w:adjustRightInd w:val="0"/>
        <w:snapToGrid w:val="0"/>
        <w:spacing w:line="576" w:lineRule="exact"/>
        <w:ind w:firstLine="640" w:firstLineChars="200"/>
        <w:contextualSpacing/>
        <w:jc w:val="left"/>
        <w:rPr>
          <w:rFonts w:ascii="仿宋_GB2312" w:hAnsi="仿宋_GB2312" w:cs="仿宋_GB2312"/>
          <w:color w:val="FF0000"/>
          <w:szCs w:val="32"/>
          <w:lang w:bidi="ar"/>
        </w:rPr>
      </w:pPr>
      <w:r>
        <w:rPr>
          <w:rFonts w:eastAsia="楷体_GB2312"/>
          <w:kern w:val="0"/>
          <w:szCs w:val="32"/>
          <w:shd w:val="clear" w:color="auto" w:fill="FFFFFF"/>
          <w:lang w:val="zh-CN"/>
        </w:rPr>
        <w:t>（</w:t>
      </w:r>
      <w:r>
        <w:rPr>
          <w:rFonts w:hint="eastAsia" w:eastAsia="楷体_GB2312"/>
          <w:kern w:val="0"/>
          <w:szCs w:val="32"/>
          <w:shd w:val="clear" w:color="auto" w:fill="FFFFFF"/>
          <w:lang w:val="zh-CN"/>
        </w:rPr>
        <w:t>三</w:t>
      </w:r>
      <w:r>
        <w:rPr>
          <w:rFonts w:eastAsia="楷体_GB2312"/>
          <w:kern w:val="0"/>
          <w:szCs w:val="32"/>
          <w:shd w:val="clear" w:color="auto" w:fill="FFFFFF"/>
          <w:lang w:val="zh-CN"/>
        </w:rPr>
        <w:t>）重点领域绩效分析。</w:t>
      </w:r>
    </w:p>
    <w:p>
      <w:pPr>
        <w:pStyle w:val="40"/>
        <w:spacing w:before="93"/>
        <w:rPr>
          <w:rFonts w:eastAsia="仿宋_GB2312"/>
        </w:rPr>
      </w:pPr>
      <w:r>
        <w:rPr>
          <w:rFonts w:hint="eastAsia" w:ascii="仿宋_GB2312" w:hAnsi="仿宋_GB2312" w:eastAsia="仿宋_GB2312" w:cs="仿宋_GB2312"/>
        </w:rPr>
        <w:t>行政事业性国有资产方面。我委下属单位市国资国企服务中心负责管理市直机关经营性国有资产，负责收益的收取、解缴和相关资产的物业管理，履行授权管理的国有资产保值增值责任。为实现资产收益最大化，通过日常对资产的维护和管理、完善应急处置工作机制、添置设施设备、定期召开安全生产工作会议等方式强化经营性资产管理，确保我单位统一管理的市级行政事业单位经营性资产的安全，保障国有资产经营高效、稳定、正常运行，实现资产保值增值。</w:t>
      </w:r>
    </w:p>
    <w:p>
      <w:pPr>
        <w:pStyle w:val="2"/>
        <w:tabs>
          <w:tab w:val="left" w:pos="2160"/>
        </w:tabs>
        <w:spacing w:before="93" w:line="600" w:lineRule="exact"/>
        <w:ind w:firstLine="640" w:firstLineChars="200"/>
        <w:rPr>
          <w:sz w:val="32"/>
          <w:szCs w:val="32"/>
        </w:rPr>
      </w:pPr>
      <w:r>
        <w:rPr>
          <w:rFonts w:hint="eastAsia" w:hAnsi="仿宋_GB2312" w:cs="仿宋_GB2312"/>
          <w:sz w:val="32"/>
          <w:szCs w:val="32"/>
          <w:lang w:bidi="ar"/>
        </w:rPr>
        <w:t>政府采购方面。</w:t>
      </w:r>
      <w:r>
        <w:rPr>
          <w:rFonts w:hint="eastAsia" w:hAnsi="宋体"/>
          <w:sz w:val="32"/>
          <w:szCs w:val="32"/>
          <w:lang w:val="zh-CN"/>
        </w:rPr>
        <w:t>为保障我委正常办公条件，将办公设备购置项目经费</w:t>
      </w:r>
      <w:r>
        <w:rPr>
          <w:rFonts w:hint="eastAsia" w:hAnsi="宋体"/>
          <w:sz w:val="32"/>
          <w:szCs w:val="32"/>
        </w:rPr>
        <w:t>5</w:t>
      </w:r>
      <w:r>
        <w:rPr>
          <w:rFonts w:hint="eastAsia" w:hAnsi="宋体"/>
          <w:sz w:val="32"/>
          <w:szCs w:val="32"/>
          <w:lang w:val="zh-CN"/>
        </w:rPr>
        <w:t>万元、固定资产购置费</w:t>
      </w:r>
      <w:r>
        <w:rPr>
          <w:rFonts w:hint="eastAsia" w:hAnsi="宋体"/>
          <w:sz w:val="32"/>
          <w:szCs w:val="32"/>
        </w:rPr>
        <w:t>2.9万元</w:t>
      </w:r>
      <w:r>
        <w:rPr>
          <w:rFonts w:hint="eastAsia" w:hAnsi="宋体"/>
          <w:sz w:val="32"/>
          <w:szCs w:val="32"/>
          <w:lang w:val="zh-CN"/>
        </w:rPr>
        <w:t>纳入年度财政预算。其中两台便携式电脑及配套软件预算金额</w:t>
      </w:r>
      <w:r>
        <w:rPr>
          <w:rFonts w:hint="eastAsia" w:hAnsi="宋体"/>
          <w:sz w:val="32"/>
          <w:szCs w:val="32"/>
        </w:rPr>
        <w:t>18254</w:t>
      </w:r>
      <w:r>
        <w:rPr>
          <w:rFonts w:hint="eastAsia" w:hAnsi="宋体"/>
          <w:sz w:val="32"/>
          <w:szCs w:val="32"/>
          <w:lang w:val="zh-CN"/>
        </w:rPr>
        <w:t>元，复印纸预算金额</w:t>
      </w:r>
      <w:r>
        <w:rPr>
          <w:rFonts w:hint="eastAsia" w:hAnsi="宋体"/>
          <w:sz w:val="32"/>
          <w:szCs w:val="32"/>
        </w:rPr>
        <w:t>24660元，保密柜两个</w:t>
      </w:r>
      <w:r>
        <w:rPr>
          <w:rFonts w:hint="eastAsia" w:hAnsi="宋体"/>
          <w:sz w:val="32"/>
          <w:szCs w:val="32"/>
          <w:lang w:val="zh-CN"/>
        </w:rPr>
        <w:t>预算金额</w:t>
      </w:r>
      <w:r>
        <w:rPr>
          <w:rFonts w:hint="eastAsia" w:hAnsi="宋体"/>
          <w:sz w:val="32"/>
          <w:szCs w:val="32"/>
        </w:rPr>
        <w:t>5000元，碎纸机两台</w:t>
      </w:r>
      <w:r>
        <w:rPr>
          <w:rFonts w:hint="eastAsia" w:hAnsi="宋体"/>
          <w:sz w:val="32"/>
          <w:szCs w:val="32"/>
          <w:lang w:val="zh-CN"/>
        </w:rPr>
        <w:t>预算金额</w:t>
      </w:r>
      <w:r>
        <w:rPr>
          <w:rFonts w:hint="eastAsia" w:hAnsi="宋体"/>
          <w:sz w:val="32"/>
          <w:szCs w:val="32"/>
        </w:rPr>
        <w:t>2000元，复印机一台27900元。</w:t>
      </w:r>
      <w:r>
        <w:rPr>
          <w:rFonts w:hint="eastAsia" w:hAnsi="仿宋_GB2312" w:cs="仿宋_GB2312"/>
          <w:sz w:val="32"/>
          <w:szCs w:val="32"/>
        </w:rPr>
        <w:t>我委严格按照政府采购流程，按时完成笔记本电脑、保密柜、碎纸机、复印纸等办公用品的采购工作，均在中小企业采购。新设备均投入使用，采购金额均在预算内，采购设备均验收合格，有效保障日常办公需求，极大的提高了办公效率。</w:t>
      </w:r>
    </w:p>
    <w:p>
      <w:pPr>
        <w:snapToGrid w:val="0"/>
        <w:spacing w:line="576" w:lineRule="exact"/>
        <w:ind w:firstLine="640" w:firstLineChars="200"/>
        <w:rPr>
          <w:rFonts w:ascii="仿宋_GB2312" w:hAnsi="仿宋_GB2312" w:cs="仿宋_GB2312"/>
          <w:szCs w:val="32"/>
        </w:rPr>
      </w:pPr>
      <w:r>
        <w:rPr>
          <w:rFonts w:eastAsia="楷体_GB2312"/>
          <w:szCs w:val="32"/>
          <w:lang w:val="zh-CN"/>
        </w:rPr>
        <w:t>（四）绩效结果应用情况</w:t>
      </w:r>
      <w:r>
        <w:rPr>
          <w:rFonts w:hint="eastAsia" w:eastAsia="楷体_GB2312"/>
          <w:szCs w:val="32"/>
          <w:lang w:val="zh-CN"/>
        </w:rPr>
        <w:t>。</w:t>
      </w:r>
      <w:r>
        <w:rPr>
          <w:rFonts w:hint="eastAsia"/>
          <w:kern w:val="0"/>
          <w:szCs w:val="32"/>
          <w:shd w:val="clear" w:color="auto" w:fill="FFFFFF"/>
          <w:lang w:val="zh-CN"/>
        </w:rPr>
        <w:t>内部应用情况方面，我委严格按照绩效目标进行考核，按时对项目绩效目标进行自评；</w:t>
      </w:r>
      <w:r>
        <w:rPr>
          <w:kern w:val="0"/>
          <w:szCs w:val="32"/>
          <w:shd w:val="clear" w:color="auto" w:fill="FFFFFF"/>
          <w:lang w:val="zh-CN"/>
        </w:rPr>
        <w:t>信息公开情况</w:t>
      </w:r>
      <w:r>
        <w:rPr>
          <w:rFonts w:hint="eastAsia"/>
          <w:kern w:val="0"/>
          <w:szCs w:val="32"/>
          <w:shd w:val="clear" w:color="auto" w:fill="FFFFFF"/>
          <w:lang w:val="zh-CN"/>
        </w:rPr>
        <w:t>方面，</w:t>
      </w:r>
      <w:r>
        <w:rPr>
          <w:rFonts w:hint="eastAsia"/>
          <w:kern w:val="0"/>
          <w:szCs w:val="32"/>
          <w:shd w:val="clear" w:color="auto" w:fill="FFFFFF"/>
        </w:rPr>
        <w:t>2023年预算决算均在市政府官网、市国资委官网公开绩效目标表册，持续做好政务公开工作。</w:t>
      </w:r>
      <w:r>
        <w:rPr>
          <w:kern w:val="0"/>
          <w:szCs w:val="32"/>
          <w:shd w:val="clear" w:color="auto" w:fill="FFFFFF"/>
          <w:lang w:val="zh-CN"/>
        </w:rPr>
        <w:t>整改反馈情况</w:t>
      </w:r>
      <w:r>
        <w:rPr>
          <w:rFonts w:hint="eastAsia"/>
          <w:kern w:val="0"/>
          <w:szCs w:val="32"/>
          <w:shd w:val="clear" w:color="auto" w:fill="FFFFFF"/>
          <w:lang w:val="zh-CN"/>
        </w:rPr>
        <w:t>方面，</w:t>
      </w:r>
      <w:r>
        <w:rPr>
          <w:rFonts w:hint="eastAsia"/>
          <w:kern w:val="0"/>
          <w:szCs w:val="32"/>
          <w:shd w:val="clear" w:color="auto" w:fill="FFFFFF"/>
        </w:rPr>
        <w:t>2023年已按照第三方机构绩效评价反馈进行整改，所有问题均整改到位</w:t>
      </w:r>
      <w:r>
        <w:rPr>
          <w:rFonts w:hint="eastAsia"/>
          <w:kern w:val="0"/>
          <w:szCs w:val="32"/>
          <w:shd w:val="clear" w:color="auto" w:fill="FFFFFF"/>
          <w:lang w:val="zh-CN"/>
        </w:rPr>
        <w:t>。</w:t>
      </w:r>
    </w:p>
    <w:p>
      <w:pPr>
        <w:widowControl/>
        <w:adjustRightInd w:val="0"/>
        <w:snapToGrid w:val="0"/>
        <w:spacing w:line="576"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四、评价结论及建议</w:t>
      </w:r>
    </w:p>
    <w:p>
      <w:pPr>
        <w:widowControl/>
        <w:adjustRightInd w:val="0"/>
        <w:snapToGrid w:val="0"/>
        <w:spacing w:line="576" w:lineRule="exact"/>
        <w:ind w:firstLine="640" w:firstLineChars="200"/>
        <w:contextualSpacing/>
        <w:jc w:val="left"/>
        <w:rPr>
          <w:rFonts w:eastAsia="楷体_GB2312"/>
          <w:color w:val="C00000"/>
          <w:kern w:val="0"/>
          <w:szCs w:val="32"/>
          <w:shd w:val="clear" w:color="auto" w:fill="FFFFFF"/>
        </w:rPr>
      </w:pPr>
      <w:r>
        <w:rPr>
          <w:rFonts w:eastAsia="楷体_GB2312"/>
          <w:kern w:val="0"/>
          <w:szCs w:val="32"/>
          <w:shd w:val="clear" w:color="auto" w:fill="FFFFFF"/>
          <w:lang w:val="zh-CN"/>
        </w:rPr>
        <w:t>（一）评价结论。</w:t>
      </w:r>
      <w:r>
        <w:rPr>
          <w:rFonts w:hint="eastAsia" w:ascii="仿宋_GB2312"/>
        </w:rPr>
        <w:t>我委积极组织下属二级单位认真全面开展绩效评价工作，对年初纳入部门预算的项目及专项预算项目都进行项目支出绩效自评，持续完善财务管理制度和内控约束机制，严格按照相关制度使用财政资金，提高财政资金使用效率，合理分配人、财、物，完成部门职能目标，</w:t>
      </w:r>
      <w:r>
        <w:rPr>
          <w:rFonts w:hint="eastAsia" w:ascii="仿宋_GB2312" w:hAnsi="仿宋_GB2312" w:cs="仿宋_GB2312"/>
        </w:rPr>
        <w:t>国资监管水平不断提高，国企党建不断加强，</w:t>
      </w:r>
      <w:r>
        <w:rPr>
          <w:rFonts w:hint="eastAsia" w:ascii="仿宋_GB2312"/>
        </w:rPr>
        <w:t>部门整体自评得分95.74分。</w:t>
      </w:r>
    </w:p>
    <w:p>
      <w:pPr>
        <w:widowControl/>
        <w:adjustRightInd w:val="0"/>
        <w:snapToGrid w:val="0"/>
        <w:spacing w:line="576" w:lineRule="exact"/>
        <w:ind w:firstLine="640" w:firstLineChars="200"/>
        <w:contextualSpacing/>
        <w:jc w:val="left"/>
        <w:rPr>
          <w:rFonts w:eastAsia="楷体_GB2312"/>
          <w:kern w:val="0"/>
          <w:szCs w:val="32"/>
          <w:shd w:val="clear" w:color="auto" w:fill="FFFFFF"/>
          <w:lang w:val="zh-CN"/>
        </w:rPr>
      </w:pPr>
      <w:r>
        <w:rPr>
          <w:rFonts w:eastAsia="楷体_GB2312"/>
          <w:kern w:val="0"/>
          <w:szCs w:val="32"/>
          <w:shd w:val="clear" w:color="auto" w:fill="FFFFFF"/>
          <w:lang w:val="zh-CN"/>
        </w:rPr>
        <w:t>（二）存在问题。</w:t>
      </w:r>
    </w:p>
    <w:p>
      <w:pPr>
        <w:widowControl/>
        <w:adjustRightInd w:val="0"/>
        <w:snapToGrid w:val="0"/>
        <w:spacing w:line="576" w:lineRule="exact"/>
        <w:ind w:firstLine="640" w:firstLineChars="200"/>
        <w:contextualSpacing/>
        <w:jc w:val="left"/>
        <w:rPr>
          <w:rFonts w:eastAsia="楷体_GB2312"/>
          <w:kern w:val="0"/>
          <w:szCs w:val="32"/>
          <w:shd w:val="clear" w:color="auto" w:fill="FFFFFF"/>
        </w:rPr>
      </w:pPr>
      <w:r>
        <w:rPr>
          <w:rFonts w:hint="eastAsia" w:ascii="仿宋" w:hAnsi="仿宋" w:eastAsia="仿宋"/>
        </w:rPr>
        <w:t>预算执行管理有待进一步加强，部分国有企业的专项项目资金集中在年底下拨，影响我委预算执行偏离度。</w:t>
      </w:r>
    </w:p>
    <w:p>
      <w:pPr>
        <w:widowControl/>
        <w:adjustRightInd w:val="0"/>
        <w:snapToGrid w:val="0"/>
        <w:spacing w:line="576" w:lineRule="exact"/>
        <w:ind w:firstLine="640" w:firstLineChars="200"/>
        <w:contextualSpacing/>
        <w:jc w:val="left"/>
        <w:rPr>
          <w:rFonts w:eastAsia="楷体_GB2312"/>
          <w:kern w:val="0"/>
          <w:szCs w:val="32"/>
          <w:shd w:val="clear" w:color="auto" w:fill="FFFFFF"/>
          <w:lang w:val="zh-CN"/>
        </w:rPr>
      </w:pPr>
      <w:r>
        <w:rPr>
          <w:rFonts w:eastAsia="楷体_GB2312"/>
          <w:kern w:val="0"/>
          <w:szCs w:val="32"/>
          <w:shd w:val="clear" w:color="auto" w:fill="FFFFFF"/>
          <w:lang w:val="zh-CN"/>
        </w:rPr>
        <w:t>（三）改进建议。</w:t>
      </w:r>
    </w:p>
    <w:p>
      <w:pPr>
        <w:spacing w:line="560" w:lineRule="exact"/>
        <w:ind w:firstLine="640" w:firstLineChars="200"/>
        <w:rPr>
          <w:rFonts w:ascii="仿宋" w:hAnsi="仿宋" w:eastAsia="仿宋"/>
          <w:szCs w:val="32"/>
        </w:rPr>
      </w:pPr>
      <w:r>
        <w:rPr>
          <w:rFonts w:hint="eastAsia" w:ascii="仿宋" w:hAnsi="仿宋" w:eastAsia="仿宋"/>
          <w:szCs w:val="32"/>
        </w:rPr>
        <w:t>加强财务业务培训。组织财务人员认真学习《预算法》《预算法实施条例》等财务管理法律法规，不断提高思想认识，加强全面预算管理的政策宣传，严格执行公务卡结算，提高财务人员的预算意识，坚持先预算后支出，无预算不支出的财政资金管理原则，不断细化预算绩效指标，提高预算编制科学性。</w:t>
      </w:r>
    </w:p>
    <w:p>
      <w:pPr>
        <w:widowControl/>
        <w:adjustRightInd w:val="0"/>
        <w:snapToGrid w:val="0"/>
        <w:spacing w:line="576" w:lineRule="exact"/>
        <w:ind w:firstLine="640" w:firstLineChars="200"/>
        <w:contextualSpacing/>
        <w:jc w:val="left"/>
        <w:rPr>
          <w:rFonts w:ascii="仿宋_GB2312" w:hAnsi="仿宋_GB2312" w:cs="仿宋_GB2312"/>
          <w:color w:val="C00000"/>
          <w:kern w:val="0"/>
          <w:szCs w:val="32"/>
          <w:lang w:val="en"/>
        </w:rPr>
      </w:pPr>
      <w:r>
        <w:rPr>
          <w:rFonts w:hint="eastAsia" w:ascii="仿宋" w:hAnsi="仿宋" w:eastAsia="仿宋"/>
          <w:szCs w:val="32"/>
        </w:rPr>
        <w:t>加强预算支出管理。完善预算管理制度，强化动态监测，加强与市财政局、委机关业务科室、项目实施单位的联系，及时找出并纠正预算实际执行中与预算目标之间的偏差，保证按照正常进度使用资金。</w:t>
      </w:r>
    </w:p>
    <w:p>
      <w:pPr>
        <w:spacing w:line="576" w:lineRule="exact"/>
        <w:ind w:firstLine="640" w:firstLineChars="200"/>
        <w:rPr>
          <w:rFonts w:ascii="仿宋_GB2312" w:hAnsi="仿宋"/>
          <w:szCs w:val="32"/>
          <w:lang w:val="en"/>
        </w:rPr>
      </w:pPr>
    </w:p>
    <w:p>
      <w:pPr>
        <w:spacing w:line="576" w:lineRule="exact"/>
        <w:rPr>
          <w:rFonts w:ascii="仿宋" w:hAnsi="仿宋" w:eastAsia="仿宋"/>
          <w:szCs w:val="32"/>
        </w:rPr>
      </w:pPr>
    </w:p>
    <w:p>
      <w:pPr>
        <w:pStyle w:val="17"/>
        <w:spacing w:line="560" w:lineRule="exact"/>
        <w:ind w:left="0" w:leftChars="0" w:firstLine="640"/>
        <w:rPr>
          <w:rFonts w:hAnsi="仿宋_GB2312" w:cs="仿宋_GB2312"/>
          <w:lang w:val="zh-CN"/>
        </w:rPr>
      </w:pPr>
      <w:r>
        <w:rPr>
          <w:rFonts w:hint="eastAsia" w:hAnsi="仿宋_GB2312" w:cs="仿宋_GB2312"/>
          <w:lang w:val="zh-CN"/>
        </w:rPr>
        <w:t>附表：</w:t>
      </w:r>
      <w:r>
        <w:rPr>
          <w:rFonts w:hint="eastAsia" w:hAnsi="仿宋_GB2312" w:cs="仿宋_GB2312"/>
        </w:rPr>
        <w:t>部门预算项目支出绩效自评表（202</w:t>
      </w:r>
      <w:r>
        <w:rPr>
          <w:rFonts w:hAnsi="仿宋_GB2312" w:cs="仿宋_GB2312"/>
        </w:rPr>
        <w:t>3</w:t>
      </w:r>
      <w:r>
        <w:rPr>
          <w:rFonts w:hint="eastAsia" w:hAnsi="仿宋_GB2312" w:cs="仿宋_GB2312"/>
        </w:rPr>
        <w:t>年度）</w:t>
      </w:r>
    </w:p>
    <w:p>
      <w:pPr>
        <w:pStyle w:val="2"/>
        <w:spacing w:before="93"/>
        <w:ind w:firstLine="600" w:firstLineChars="200"/>
        <w:rPr>
          <w:rFonts w:hint="default" w:eastAsia="仿宋_GB2312"/>
          <w:lang w:val="en-US" w:eastAsia="zh-CN"/>
        </w:rPr>
      </w:pPr>
      <w:r>
        <w:rPr>
          <w:rFonts w:hint="eastAsia"/>
          <w:lang w:eastAsia="zh-CN"/>
        </w:rPr>
        <w:t>具体内容见附表</w:t>
      </w:r>
      <w:r>
        <w:rPr>
          <w:rFonts w:hint="eastAsia"/>
          <w:lang w:val="en-US" w:eastAsia="zh-CN"/>
        </w:rPr>
        <w:t>2</w:t>
      </w:r>
    </w:p>
    <w:p>
      <w:pPr>
        <w:pStyle w:val="2"/>
        <w:spacing w:before="93"/>
      </w:pPr>
    </w:p>
    <w:p>
      <w:pPr>
        <w:pStyle w:val="2"/>
        <w:spacing w:before="93"/>
      </w:pPr>
    </w:p>
    <w:p>
      <w:pPr>
        <w:pStyle w:val="2"/>
        <w:spacing w:before="93"/>
      </w:pPr>
    </w:p>
    <w:p>
      <w:pPr>
        <w:pStyle w:val="2"/>
        <w:spacing w:before="93"/>
      </w:pPr>
    </w:p>
    <w:p>
      <w:pPr>
        <w:spacing w:line="576" w:lineRule="exact"/>
        <w:jc w:val="left"/>
        <w:outlineLvl w:val="0"/>
        <w:rPr>
          <w:rFonts w:hint="eastAsia" w:ascii="黑体" w:hAnsi="黑体" w:eastAsia="黑体" w:cs="黑体"/>
          <w:szCs w:val="32"/>
        </w:rPr>
      </w:pPr>
    </w:p>
    <w:p>
      <w:pPr>
        <w:spacing w:line="576" w:lineRule="exact"/>
        <w:jc w:val="left"/>
        <w:outlineLvl w:val="0"/>
        <w:rPr>
          <w:rFonts w:hint="eastAsia" w:ascii="黑体" w:hAnsi="黑体" w:eastAsia="黑体" w:cs="黑体"/>
          <w:szCs w:val="32"/>
        </w:rPr>
      </w:pPr>
    </w:p>
    <w:p>
      <w:pPr>
        <w:spacing w:line="576" w:lineRule="exact"/>
        <w:jc w:val="left"/>
        <w:outlineLvl w:val="0"/>
        <w:rPr>
          <w:rFonts w:hint="eastAsia" w:ascii="黑体" w:hAnsi="黑体" w:eastAsia="黑体" w:cs="黑体"/>
          <w:szCs w:val="32"/>
        </w:rPr>
      </w:pPr>
    </w:p>
    <w:p>
      <w:pPr>
        <w:spacing w:line="576" w:lineRule="exact"/>
        <w:jc w:val="left"/>
        <w:outlineLvl w:val="0"/>
        <w:rPr>
          <w:rFonts w:ascii="方正小标宋简体" w:hAnsi="方正小标宋简体" w:eastAsia="方正小标宋简体" w:cs="方正小标宋简体"/>
          <w:sz w:val="44"/>
          <w:szCs w:val="44"/>
        </w:rPr>
      </w:pPr>
      <w:r>
        <w:rPr>
          <w:rFonts w:hint="eastAsia" w:ascii="黑体" w:hAnsi="黑体" w:eastAsia="黑体" w:cs="黑体"/>
          <w:szCs w:val="32"/>
        </w:rPr>
        <w:t>附件</w:t>
      </w:r>
      <w:r>
        <w:rPr>
          <w:rFonts w:ascii="黑体" w:hAnsi="黑体" w:eastAsia="黑体" w:cs="黑体"/>
          <w:szCs w:val="32"/>
        </w:rPr>
        <w:t>2</w:t>
      </w:r>
    </w:p>
    <w:p>
      <w:pPr>
        <w:pStyle w:val="38"/>
        <w:tabs>
          <w:tab w:val="left" w:pos="315"/>
          <w:tab w:val="center" w:pos="4153"/>
        </w:tabs>
        <w:spacing w:line="578" w:lineRule="exact"/>
        <w:jc w:val="left"/>
        <w:rPr>
          <w:rFonts w:ascii="方正小标宋简体" w:hAnsi="方正小标宋简体" w:eastAsia="方正小标宋简体" w:cs="方正小标宋简体"/>
          <w:color w:val="auto"/>
          <w:kern w:val="2"/>
          <w:sz w:val="44"/>
          <w:szCs w:val="44"/>
          <w:lang w:val="en-US"/>
        </w:rPr>
      </w:pPr>
      <w:r>
        <w:rPr>
          <w:rFonts w:ascii="方正小标宋简体" w:hAnsi="方正小标宋简体" w:eastAsia="方正小标宋简体" w:cs="方正小标宋简体"/>
          <w:color w:val="auto"/>
          <w:kern w:val="2"/>
          <w:sz w:val="44"/>
          <w:szCs w:val="44"/>
          <w:lang w:val="en-US"/>
        </w:rPr>
        <w:tab/>
      </w:r>
      <w:r>
        <w:rPr>
          <w:rFonts w:ascii="方正小标宋简体" w:hAnsi="方正小标宋简体" w:eastAsia="方正小标宋简体" w:cs="方正小标宋简体"/>
          <w:color w:val="auto"/>
          <w:kern w:val="2"/>
          <w:sz w:val="44"/>
          <w:szCs w:val="44"/>
          <w:lang w:val="en-US"/>
        </w:rPr>
        <w:tab/>
      </w:r>
      <w:r>
        <w:rPr>
          <w:rFonts w:hint="eastAsia" w:ascii="方正小标宋简体" w:hAnsi="方正小标宋简体" w:eastAsia="方正小标宋简体" w:cs="方正小标宋简体"/>
          <w:color w:val="auto"/>
          <w:kern w:val="2"/>
          <w:sz w:val="44"/>
          <w:szCs w:val="44"/>
          <w:lang w:val="en-US"/>
        </w:rPr>
        <w:t>关于办公设备购买项目的绩效评价报告</w:t>
      </w:r>
    </w:p>
    <w:p>
      <w:pPr>
        <w:pStyle w:val="38"/>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widowControl/>
        <w:adjustRightInd w:val="0"/>
        <w:snapToGrid w:val="0"/>
        <w:spacing w:line="578" w:lineRule="exact"/>
        <w:ind w:firstLine="642" w:firstLineChars="200"/>
        <w:contextualSpacing/>
        <w:jc w:val="left"/>
        <w:rPr>
          <w:rFonts w:ascii="楷体_GB2312" w:hAnsi="宋体" w:eastAsia="楷体_GB2312"/>
          <w:b/>
          <w:lang w:val="zh-CN"/>
        </w:rPr>
      </w:pPr>
      <w:r>
        <w:rPr>
          <w:rFonts w:hint="eastAsia" w:ascii="楷体_GB2312" w:hAnsi="宋体" w:eastAsia="楷体_GB2312"/>
          <w:b/>
          <w:szCs w:val="32"/>
          <w:lang w:val="zh-CN"/>
        </w:rPr>
        <w:t>（一）设立背景及基本情况。</w:t>
      </w:r>
    </w:p>
    <w:p>
      <w:pPr>
        <w:snapToGrid w:val="0"/>
        <w:spacing w:line="576" w:lineRule="exact"/>
        <w:ind w:firstLine="640" w:firstLineChars="200"/>
        <w:rPr>
          <w:rFonts w:ascii="仿宋_GB2312" w:hAnsi="宋体"/>
          <w:highlight w:val="yellow"/>
        </w:rPr>
      </w:pPr>
      <w:r>
        <w:rPr>
          <w:rFonts w:hint="eastAsia"/>
          <w:szCs w:val="32"/>
        </w:rPr>
        <w:t>为满足日常办公需要，我委计划在2023年购买便携式计算机、碎纸机、保密柜、复印纸等。本着真正过紧日子的原则，厉行节约、精打细算，从严从紧控制项目申报和预算安排，非必要项目和工作内容可压尽压、应压尽压，做到客观、绩效、精准。</w:t>
      </w:r>
      <w:r>
        <w:rPr>
          <w:rFonts w:hint="eastAsia" w:ascii="仿宋_GB2312" w:hAnsi="宋体"/>
          <w:szCs w:val="32"/>
          <w:lang w:val="zh-CN"/>
        </w:rPr>
        <w:t>项目立项、资金申报是按照市级行政事业单位通用办公设备配置管理办法标准及单位实际办公设备需求编制预算。</w:t>
      </w:r>
    </w:p>
    <w:p>
      <w:pPr>
        <w:adjustRightInd w:val="0"/>
        <w:snapToGrid w:val="0"/>
        <w:spacing w:line="578" w:lineRule="exact"/>
        <w:ind w:firstLine="642" w:firstLineChars="200"/>
        <w:rPr>
          <w:rFonts w:ascii="楷体_GB2312" w:hAnsi="宋体" w:eastAsia="楷体_GB2312"/>
          <w:b/>
          <w:lang w:val="zh-CN"/>
        </w:rPr>
      </w:pPr>
      <w:r>
        <w:rPr>
          <w:rFonts w:hint="eastAsia" w:ascii="楷体_GB2312" w:hAnsi="宋体" w:eastAsia="楷体_GB2312"/>
          <w:b/>
          <w:szCs w:val="32"/>
          <w:lang w:val="zh-CN"/>
        </w:rPr>
        <w:t>（二）</w:t>
      </w:r>
      <w:r>
        <w:rPr>
          <w:rFonts w:ascii="楷体_GB2312" w:hAnsi="宋体" w:eastAsia="楷体_GB2312"/>
          <w:b/>
          <w:szCs w:val="32"/>
        </w:rPr>
        <w:t>实施目的及支持方向</w:t>
      </w:r>
      <w:r>
        <w:rPr>
          <w:rFonts w:hint="eastAsia" w:ascii="楷体_GB2312" w:hAnsi="宋体" w:eastAsia="楷体_GB2312"/>
          <w:b/>
          <w:szCs w:val="32"/>
        </w:rPr>
        <w:t>。</w:t>
      </w:r>
      <w:r>
        <w:rPr>
          <w:rFonts w:hint="eastAsia" w:ascii="仿宋_GB2312" w:hAnsi="宋体"/>
          <w:szCs w:val="32"/>
        </w:rPr>
        <w:t>严格</w:t>
      </w:r>
      <w:r>
        <w:rPr>
          <w:rFonts w:hint="eastAsia" w:ascii="仿宋_GB2312" w:hAnsi="宋体"/>
          <w:szCs w:val="32"/>
          <w:lang w:val="zh-CN"/>
        </w:rPr>
        <w:t>按照市级行政事业单位通用办公设备配置管理办法标准及单位实际办公设备需求编制预算，经机关事务服务中心和财政局资产科审批后实施。项目资金主要用于购买办公设备及复印纸，以保障我委日常办公需求。</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rPr>
      </w:pPr>
      <w:r>
        <w:rPr>
          <w:rFonts w:hint="eastAsia" w:ascii="楷体_GB2312" w:hAnsi="宋体" w:eastAsia="楷体_GB2312"/>
          <w:b/>
          <w:szCs w:val="32"/>
          <w:lang w:val="zh-CN"/>
        </w:rPr>
        <w:t>（三）</w:t>
      </w:r>
      <w:r>
        <w:rPr>
          <w:rFonts w:ascii="楷体_GB2312" w:hAnsi="宋体" w:eastAsia="楷体_GB2312"/>
          <w:b/>
          <w:szCs w:val="32"/>
        </w:rPr>
        <w:t>预算安排及分配管理</w:t>
      </w:r>
      <w:r>
        <w:rPr>
          <w:rFonts w:hint="eastAsia" w:ascii="楷体_GB2312" w:hAnsi="宋体" w:eastAsia="楷体_GB2312"/>
          <w:b/>
          <w:szCs w:val="32"/>
          <w:lang w:val="zh-CN"/>
        </w:rPr>
        <w:t>。</w:t>
      </w:r>
      <w:r>
        <w:rPr>
          <w:rFonts w:hint="eastAsia" w:ascii="仿宋_GB2312" w:hAnsi="宋体"/>
          <w:szCs w:val="32"/>
          <w:lang w:val="zh-CN"/>
        </w:rPr>
        <w:t>为保障我委正常办公条件，将办公设备购置项目经费</w:t>
      </w:r>
      <w:r>
        <w:rPr>
          <w:rFonts w:hint="eastAsia" w:ascii="仿宋_GB2312" w:hAnsi="宋体"/>
          <w:szCs w:val="32"/>
        </w:rPr>
        <w:t>5</w:t>
      </w:r>
      <w:r>
        <w:rPr>
          <w:rFonts w:hint="eastAsia" w:ascii="仿宋_GB2312" w:hAnsi="宋体"/>
          <w:szCs w:val="32"/>
          <w:lang w:val="zh-CN"/>
        </w:rPr>
        <w:t>万元纳入委机关年度财政预算。其中两台便携式电脑及配套软件预算金额</w:t>
      </w:r>
      <w:r>
        <w:rPr>
          <w:rFonts w:hint="eastAsia" w:ascii="仿宋_GB2312" w:hAnsi="宋体"/>
          <w:szCs w:val="32"/>
        </w:rPr>
        <w:t>18254</w:t>
      </w:r>
      <w:r>
        <w:rPr>
          <w:rFonts w:hint="eastAsia" w:ascii="仿宋_GB2312" w:hAnsi="宋体"/>
          <w:szCs w:val="32"/>
          <w:lang w:val="zh-CN"/>
        </w:rPr>
        <w:t>元，复印纸预算金额</w:t>
      </w:r>
      <w:r>
        <w:rPr>
          <w:rFonts w:hint="eastAsia" w:ascii="仿宋_GB2312" w:hAnsi="宋体"/>
          <w:szCs w:val="32"/>
        </w:rPr>
        <w:t>24660元，保密柜两个</w:t>
      </w:r>
      <w:r>
        <w:rPr>
          <w:rFonts w:hint="eastAsia" w:ascii="仿宋_GB2312" w:hAnsi="宋体"/>
          <w:szCs w:val="32"/>
          <w:lang w:val="zh-CN"/>
        </w:rPr>
        <w:t>预算金额</w:t>
      </w:r>
      <w:r>
        <w:rPr>
          <w:rFonts w:hint="eastAsia" w:ascii="仿宋_GB2312" w:hAnsi="宋体"/>
          <w:szCs w:val="32"/>
        </w:rPr>
        <w:t>5000元，碎纸机2</w:t>
      </w:r>
      <w:r>
        <w:rPr>
          <w:rFonts w:hint="eastAsia" w:ascii="仿宋_GB2312" w:hAnsi="宋体"/>
          <w:szCs w:val="32"/>
          <w:lang w:val="zh-CN"/>
        </w:rPr>
        <w:t>预算金额</w:t>
      </w:r>
      <w:r>
        <w:rPr>
          <w:rFonts w:hint="eastAsia" w:ascii="仿宋_GB2312" w:hAnsi="宋体"/>
          <w:szCs w:val="32"/>
        </w:rPr>
        <w:t>两台2000元。</w:t>
      </w:r>
    </w:p>
    <w:p>
      <w:pPr>
        <w:adjustRightInd w:val="0"/>
        <w:snapToGrid w:val="0"/>
        <w:spacing w:line="578" w:lineRule="exact"/>
        <w:ind w:firstLine="642" w:firstLineChars="200"/>
        <w:rPr>
          <w:rFonts w:ascii="仿宋_GB2312" w:hAnsi="仿宋_GB2312" w:cs="仿宋_GB2312"/>
          <w:kern w:val="0"/>
          <w:shd w:val="clear" w:color="auto" w:fill="FFFFFF"/>
          <w:lang w:val="zh-CN"/>
        </w:rPr>
      </w:pPr>
      <w:r>
        <w:rPr>
          <w:rFonts w:hint="eastAsia" w:ascii="楷体_GB2312" w:hAnsi="宋体" w:eastAsia="楷体_GB2312"/>
          <w:b/>
          <w:szCs w:val="32"/>
          <w:lang w:val="zh-CN"/>
        </w:rPr>
        <w:t>（四）项目绩效目标设置。</w:t>
      </w:r>
      <w:r>
        <w:rPr>
          <w:rFonts w:hint="eastAsia" w:ascii="仿宋_GB2312" w:hAnsi="仿宋_GB2312" w:cs="仿宋_GB2312"/>
          <w:kern w:val="0"/>
          <w:szCs w:val="32"/>
          <w:shd w:val="clear" w:color="auto" w:fill="FFFFFF"/>
          <w:lang w:val="zh-CN"/>
        </w:rPr>
        <w:t>根据采购实施流程，我委设置新设备使用率、采购设备合格率、采购设备及时率、提升办公效率、采购设备使用时间、使用人员满意度、设备采购成本绩效目标，保障该项目正常实施。后期，根据财政局要求，按时进行绩效运行监控，完成自评工组。</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pPr>
      <w:r>
        <w:rPr>
          <w:rFonts w:hint="eastAsia" w:ascii="楷体_GB2312" w:hAnsi="宋体" w:eastAsia="楷体_GB2312"/>
          <w:b/>
          <w:szCs w:val="32"/>
          <w:lang w:val="zh-CN"/>
        </w:rPr>
        <w:t>（一）评价目的。</w:t>
      </w:r>
      <w:r>
        <w:rPr>
          <w:szCs w:val="32"/>
        </w:rPr>
        <w:t>通过</w:t>
      </w:r>
      <w:r>
        <w:rPr>
          <w:rFonts w:hint="eastAsia"/>
          <w:szCs w:val="32"/>
        </w:rPr>
        <w:t>项目绩效自评，可以及时发现项目实施过程中存在的问题，加强项目的自主监督和管理，提高项目管理能力；可以直观了解项目的实际状态，为类似项目的管理和资金使用提供丰富经验和运行建议。</w:t>
      </w:r>
    </w:p>
    <w:p>
      <w:pPr>
        <w:adjustRightInd w:val="0"/>
        <w:snapToGrid w:val="0"/>
        <w:spacing w:line="578" w:lineRule="exact"/>
        <w:ind w:firstLine="642" w:firstLineChars="200"/>
      </w:pPr>
      <w:r>
        <w:rPr>
          <w:rFonts w:hint="eastAsia" w:ascii="楷体_GB2312" w:hAnsi="宋体" w:eastAsia="楷体_GB2312"/>
          <w:b/>
          <w:szCs w:val="32"/>
          <w:lang w:val="zh-CN"/>
        </w:rPr>
        <w:t>（二）预设问题及评价重点。</w:t>
      </w:r>
      <w:r>
        <w:rPr>
          <w:rFonts w:hint="eastAsia"/>
          <w:szCs w:val="32"/>
        </w:rPr>
        <w:t>按照绩效评价指标体系，我委对项目资金支出使用全过程进行监督，按时评估资金进度，对按时完成项目目标提供有力监督，有效控制了采购成本。</w:t>
      </w:r>
    </w:p>
    <w:p>
      <w:pPr>
        <w:adjustRightInd w:val="0"/>
        <w:snapToGrid w:val="0"/>
        <w:spacing w:line="578" w:lineRule="exact"/>
        <w:ind w:firstLine="642" w:firstLineChars="200"/>
        <w:rPr>
          <w:lang w:val="zh-CN"/>
        </w:rPr>
      </w:pPr>
      <w:r>
        <w:rPr>
          <w:rFonts w:hint="eastAsia" w:ascii="楷体_GB2312" w:hAnsi="宋体" w:eastAsia="楷体_GB2312"/>
          <w:b/>
          <w:szCs w:val="32"/>
          <w:lang w:val="zh-CN"/>
        </w:rPr>
        <w:t>（三）评价选点。</w:t>
      </w:r>
      <w:r>
        <w:rPr>
          <w:rFonts w:hint="eastAsia"/>
          <w:szCs w:val="32"/>
          <w:lang w:val="zh-CN"/>
        </w:rPr>
        <w:t>根据采购设备的使用情况、合格率、满意度等指标进行全方位评价。</w:t>
      </w:r>
    </w:p>
    <w:p>
      <w:pPr>
        <w:spacing w:line="578" w:lineRule="exact"/>
        <w:ind w:firstLine="640"/>
      </w:pPr>
      <w:r>
        <w:rPr>
          <w:rFonts w:hint="eastAsia" w:ascii="楷体_GB2312" w:hAnsi="宋体" w:eastAsia="楷体_GB2312"/>
          <w:b/>
          <w:szCs w:val="32"/>
          <w:lang w:val="zh-CN"/>
        </w:rPr>
        <w:t>（四）评价方法。</w:t>
      </w:r>
      <w:r>
        <w:rPr>
          <w:szCs w:val="32"/>
        </w:rPr>
        <w:t>根据</w:t>
      </w:r>
      <w:r>
        <w:rPr>
          <w:rFonts w:hint="eastAsia"/>
          <w:szCs w:val="32"/>
        </w:rPr>
        <w:t>办公设备购买</w:t>
      </w:r>
      <w:r>
        <w:rPr>
          <w:szCs w:val="32"/>
        </w:rPr>
        <w:t>项目情况和评价重点，</w:t>
      </w:r>
      <w:r>
        <w:rPr>
          <w:rFonts w:hint="eastAsia"/>
          <w:szCs w:val="32"/>
        </w:rPr>
        <w:t>我委</w:t>
      </w:r>
      <w:r>
        <w:rPr>
          <w:szCs w:val="32"/>
        </w:rPr>
        <w:t>采用</w:t>
      </w:r>
      <w:r>
        <w:rPr>
          <w:rFonts w:hint="eastAsia"/>
          <w:szCs w:val="32"/>
        </w:rPr>
        <w:t>成本效益分析法、</w:t>
      </w:r>
      <w:r>
        <w:rPr>
          <w:szCs w:val="32"/>
        </w:rPr>
        <w:t>单位自评法</w:t>
      </w:r>
      <w:r>
        <w:rPr>
          <w:rFonts w:hint="eastAsia"/>
          <w:szCs w:val="32"/>
        </w:rPr>
        <w:t>进行评价。</w:t>
      </w:r>
    </w:p>
    <w:p>
      <w:pPr>
        <w:spacing w:line="578" w:lineRule="exact"/>
        <w:ind w:firstLine="640"/>
        <w:rPr>
          <w:bCs/>
        </w:rPr>
      </w:pPr>
      <w:r>
        <w:rPr>
          <w:rFonts w:hint="eastAsia" w:ascii="楷体_GB2312" w:hAnsi="宋体" w:eastAsia="楷体_GB2312"/>
          <w:b/>
          <w:szCs w:val="32"/>
          <w:lang w:val="zh-CN"/>
        </w:rPr>
        <w:t>（五）评价组织。</w:t>
      </w:r>
      <w:r>
        <w:rPr>
          <w:szCs w:val="32"/>
        </w:rPr>
        <w:t>评价组</w:t>
      </w:r>
      <w:r>
        <w:rPr>
          <w:rFonts w:hint="eastAsia"/>
          <w:szCs w:val="32"/>
        </w:rPr>
        <w:t>由采购项目负责人、会计、财务负责人构成，采购项目负责人负责采购执行，其他人员根据实施情况进行评价。</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宋体" w:eastAsia="楷体_GB2312"/>
          <w:b/>
        </w:rPr>
      </w:pPr>
      <w:r>
        <w:rPr>
          <w:rFonts w:hint="eastAsia" w:ascii="楷体_GB2312" w:hAnsi="宋体" w:eastAsia="楷体_GB2312"/>
          <w:b/>
          <w:szCs w:val="32"/>
          <w:lang w:val="zh-CN"/>
        </w:rPr>
        <w:t>（一）</w:t>
      </w:r>
      <w:r>
        <w:rPr>
          <w:rFonts w:hint="eastAsia" w:ascii="楷体_GB2312" w:hAnsi="宋体" w:eastAsia="楷体_GB2312"/>
          <w:b/>
          <w:szCs w:val="32"/>
        </w:rPr>
        <w:t>通用指标</w:t>
      </w:r>
      <w:r>
        <w:rPr>
          <w:rFonts w:eastAsia="楷体_GB2312"/>
          <w:b/>
          <w:bCs/>
          <w:color w:val="000000"/>
          <w:kern w:val="0"/>
          <w:szCs w:val="32"/>
          <w:shd w:val="clear" w:color="auto" w:fill="FFFFFF"/>
          <w:lang w:val="zh-CN"/>
        </w:rPr>
        <w:t>绩效分析。</w:t>
      </w:r>
    </w:p>
    <w:p>
      <w:pPr>
        <w:spacing w:line="578" w:lineRule="exact"/>
        <w:ind w:firstLine="640"/>
      </w:pPr>
      <w:r>
        <w:rPr>
          <w:rFonts w:hint="eastAsia" w:ascii="楷体_GB2312" w:hAnsi="楷体_GB2312" w:eastAsia="楷体_GB2312" w:cs="楷体_GB2312"/>
          <w:szCs w:val="32"/>
        </w:rPr>
        <w:t>1.项目决策。</w:t>
      </w:r>
      <w:r>
        <w:rPr>
          <w:rFonts w:hint="eastAsia"/>
          <w:szCs w:val="32"/>
        </w:rPr>
        <w:t>项目严格按照</w:t>
      </w:r>
      <w:r>
        <w:rPr>
          <w:rFonts w:hint="eastAsia" w:ascii="仿宋_GB2312" w:hAnsi="宋体"/>
          <w:szCs w:val="32"/>
          <w:lang w:val="zh-CN"/>
        </w:rPr>
        <w:t>级行政事业单位通用办公设备配置管理办法标准及单位实际办公设备需求编制预算，经机关事务服务中心和财政局资产科审批后实施。</w:t>
      </w:r>
      <w:r>
        <w:rPr>
          <w:rFonts w:hint="eastAsia"/>
          <w:szCs w:val="32"/>
        </w:rPr>
        <w:t>决策程序规范、规划论证严密、资金投向合规。</w:t>
      </w:r>
    </w:p>
    <w:p>
      <w:pPr>
        <w:spacing w:line="578" w:lineRule="exact"/>
        <w:ind w:firstLine="640"/>
      </w:pPr>
      <w:r>
        <w:rPr>
          <w:rFonts w:hint="eastAsia" w:ascii="楷体_GB2312" w:hAnsi="楷体_GB2312" w:eastAsia="楷体_GB2312" w:cs="楷体_GB2312"/>
          <w:szCs w:val="32"/>
        </w:rPr>
        <w:t>2.项目管理。</w:t>
      </w:r>
      <w:r>
        <w:rPr>
          <w:rFonts w:hint="eastAsia"/>
          <w:szCs w:val="32"/>
          <w:lang w:val="zh-CN"/>
        </w:rPr>
        <w:t>资金管理办法等管理制度体系健全完善，不存在管理制度缺失现象，资金分配管理经过前期充分调研，管理规范合理，实施全过程进行监控</w:t>
      </w:r>
      <w:r>
        <w:rPr>
          <w:rFonts w:hint="eastAsia"/>
          <w:szCs w:val="32"/>
        </w:rPr>
        <w:t>。</w:t>
      </w:r>
    </w:p>
    <w:p>
      <w:pPr>
        <w:spacing w:line="578" w:lineRule="exact"/>
        <w:ind w:firstLine="640"/>
        <w:rPr>
          <w:lang w:val="zh-CN"/>
        </w:rPr>
      </w:pPr>
      <w:r>
        <w:rPr>
          <w:rFonts w:hint="eastAsia" w:ascii="楷体_GB2312" w:hAnsi="楷体_GB2312" w:eastAsia="楷体_GB2312" w:cs="楷体_GB2312"/>
          <w:szCs w:val="32"/>
        </w:rPr>
        <w:t>3.项目实施。</w:t>
      </w:r>
      <w:r>
        <w:rPr>
          <w:rFonts w:hint="eastAsia"/>
          <w:szCs w:val="32"/>
          <w:lang w:val="zh-CN"/>
        </w:rPr>
        <w:t>办公设备购买项目资金来源于财政拨款，纳入</w:t>
      </w:r>
      <w:r>
        <w:rPr>
          <w:rFonts w:hint="eastAsia"/>
          <w:szCs w:val="32"/>
        </w:rPr>
        <w:t>2023年预算中，资金到位及时率100%，资金使用符合国家财经法规、财务管理制度及有关专项资金管理制度办法规定和审批程序</w:t>
      </w:r>
      <w:r>
        <w:rPr>
          <w:rFonts w:hint="eastAsia"/>
          <w:szCs w:val="32"/>
          <w:lang w:val="zh-CN"/>
        </w:rPr>
        <w:t>。</w:t>
      </w:r>
    </w:p>
    <w:p>
      <w:pPr>
        <w:spacing w:line="578" w:lineRule="exact"/>
        <w:ind w:firstLine="640"/>
      </w:pPr>
      <w:r>
        <w:rPr>
          <w:rFonts w:hint="eastAsia" w:ascii="楷体_GB2312" w:hAnsi="楷体_GB2312" w:eastAsia="楷体_GB2312" w:cs="楷体_GB2312"/>
          <w:szCs w:val="32"/>
        </w:rPr>
        <w:t>4.项目结果。</w:t>
      </w:r>
      <w:r>
        <w:rPr>
          <w:rFonts w:hint="eastAsia"/>
          <w:szCs w:val="32"/>
        </w:rPr>
        <w:t>项目完成预期目标，实施结果与绩效目标相匹配。</w:t>
      </w:r>
    </w:p>
    <w:p>
      <w:pPr>
        <w:spacing w:line="578" w:lineRule="exact"/>
        <w:ind w:firstLine="642" w:firstLineChars="200"/>
        <w:rPr>
          <w:rFonts w:ascii="楷体_GB2312" w:hAnsi="楷体_GB2312" w:eastAsia="楷体_GB2312" w:cs="楷体_GB2312"/>
          <w:lang w:val="zh-CN"/>
        </w:rPr>
      </w:pPr>
      <w:r>
        <w:rPr>
          <w:rFonts w:hint="eastAsia" w:ascii="楷体_GB2312" w:hAnsi="宋体" w:eastAsia="楷体_GB2312"/>
          <w:b/>
          <w:szCs w:val="32"/>
          <w:lang w:val="zh-CN"/>
        </w:rPr>
        <w:t>（二）</w:t>
      </w:r>
      <w:r>
        <w:rPr>
          <w:rFonts w:hint="eastAsia" w:ascii="楷体_GB2312" w:hAnsi="宋体" w:eastAsia="楷体_GB2312"/>
          <w:b/>
          <w:szCs w:val="32"/>
        </w:rPr>
        <w:t>专用指标</w:t>
      </w:r>
      <w:r>
        <w:rPr>
          <w:rFonts w:eastAsia="楷体_GB2312"/>
          <w:b/>
          <w:bCs/>
          <w:color w:val="000000"/>
          <w:kern w:val="0"/>
          <w:szCs w:val="32"/>
          <w:shd w:val="clear" w:color="auto" w:fill="FFFFFF"/>
          <w:lang w:val="zh-CN"/>
        </w:rPr>
        <w:t>绩效分析。</w:t>
      </w:r>
    </w:p>
    <w:p>
      <w:pPr>
        <w:spacing w:line="578" w:lineRule="exact"/>
        <w:ind w:firstLine="640" w:firstLineChars="200"/>
      </w:pPr>
      <w:r>
        <w:rPr>
          <w:rFonts w:hint="eastAsia" w:ascii="楷体_GB2312" w:hAnsi="楷体_GB2312" w:eastAsia="楷体_GB2312" w:cs="楷体_GB2312"/>
          <w:szCs w:val="32"/>
        </w:rPr>
        <w:t>1.</w:t>
      </w:r>
      <w:r>
        <w:rPr>
          <w:rFonts w:hint="eastAsia" w:ascii="楷体_GB2312" w:hAnsi="楷体_GB2312" w:eastAsia="楷体_GB2312" w:cs="楷体_GB2312"/>
          <w:szCs w:val="32"/>
          <w:lang w:val="zh-CN"/>
        </w:rPr>
        <w:t>行政运转。</w:t>
      </w:r>
      <w:r>
        <w:rPr>
          <w:rFonts w:hint="eastAsia"/>
          <w:szCs w:val="32"/>
          <w:lang w:val="zh-CN"/>
        </w:rPr>
        <w:t>项目严格按规定用途、适用范围进行，采购程序规范，圆满完成采购绩效目标任务。</w:t>
      </w:r>
    </w:p>
    <w:p>
      <w:pPr>
        <w:spacing w:line="578" w:lineRule="exact"/>
        <w:ind w:firstLine="640"/>
      </w:pPr>
      <w:r>
        <w:rPr>
          <w:rFonts w:hint="eastAsia" w:ascii="楷体_GB2312" w:hAnsi="宋体" w:eastAsia="楷体_GB2312"/>
          <w:b/>
          <w:szCs w:val="32"/>
          <w:lang w:val="zh-CN"/>
        </w:rPr>
        <w:t>（三）</w:t>
      </w:r>
      <w:r>
        <w:rPr>
          <w:rFonts w:hint="eastAsia" w:ascii="楷体_GB2312" w:hAnsi="宋体" w:eastAsia="楷体_GB2312"/>
          <w:b/>
          <w:szCs w:val="32"/>
        </w:rPr>
        <w:t>个性指标</w:t>
      </w:r>
      <w:r>
        <w:rPr>
          <w:rFonts w:eastAsia="楷体_GB2312"/>
          <w:b/>
          <w:bCs/>
          <w:color w:val="000000"/>
          <w:kern w:val="0"/>
          <w:szCs w:val="32"/>
          <w:shd w:val="clear" w:color="auto" w:fill="FFFFFF"/>
          <w:lang w:val="zh-CN"/>
        </w:rPr>
        <w:t>绩效分析。</w:t>
      </w:r>
      <w:r>
        <w:rPr>
          <w:rFonts w:hint="eastAsia"/>
          <w:szCs w:val="32"/>
          <w:lang w:val="zh-CN"/>
        </w:rPr>
        <w:t>根据项目个性自行设定指标如下，采购的办公设备均达到合格标准，新购办公设备使用人员满意度高，设备采购成本控制在</w:t>
      </w:r>
      <w:r>
        <w:rPr>
          <w:rFonts w:hint="eastAsia"/>
          <w:szCs w:val="32"/>
        </w:rPr>
        <w:t>50000元以内。</w:t>
      </w:r>
    </w:p>
    <w:p>
      <w:pPr>
        <w:pStyle w:val="2"/>
        <w:spacing w:before="93" w:line="600" w:lineRule="exact"/>
        <w:ind w:firstLine="640" w:firstLineChars="200"/>
        <w:rPr>
          <w:rFonts w:ascii="黑体" w:hAnsi="宋体"/>
          <w:sz w:val="32"/>
          <w:szCs w:val="32"/>
        </w:rPr>
      </w:pPr>
      <w:r>
        <w:rPr>
          <w:rFonts w:hint="eastAsia" w:ascii="黑体" w:hAnsi="宋体" w:eastAsia="黑体"/>
          <w:sz w:val="32"/>
          <w:szCs w:val="32"/>
        </w:rPr>
        <w:t>四、评价结论</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我委严格按照政府采购流程，按时完成笔记本电脑、保密柜、碎纸机、复印纸等办公用品的采购工作。新设备均投入使用，采购金额均在预算内，采购设备均验收合格，有效保障日常办公需求，极大的提高了办公效率。自评100分。</w:t>
      </w:r>
    </w:p>
    <w:p>
      <w:pPr>
        <w:pStyle w:val="2"/>
        <w:spacing w:before="93" w:line="600" w:lineRule="exact"/>
        <w:ind w:firstLine="640" w:firstLineChars="200"/>
        <w:rPr>
          <w:rFonts w:ascii="黑体" w:hAnsi="黑体" w:eastAsia="黑体"/>
          <w:sz w:val="32"/>
          <w:szCs w:val="32"/>
        </w:rPr>
      </w:pPr>
      <w:r>
        <w:rPr>
          <w:rFonts w:hint="eastAsia" w:ascii="黑体" w:hAnsi="黑体" w:eastAsia="黑体"/>
          <w:sz w:val="32"/>
          <w:szCs w:val="32"/>
        </w:rPr>
        <w:t>五、存在主要问题</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办公设备购买项目执行时间较晚，影响我委预算执行进度。</w:t>
      </w:r>
    </w:p>
    <w:p>
      <w:pPr>
        <w:pStyle w:val="2"/>
        <w:spacing w:before="93" w:line="600" w:lineRule="exact"/>
        <w:ind w:firstLine="640" w:firstLineChars="200"/>
        <w:rPr>
          <w:rFonts w:ascii="黑体" w:hAnsi="宋体"/>
          <w:sz w:val="32"/>
          <w:szCs w:val="32"/>
          <w:lang w:val="zh-CN"/>
        </w:rPr>
      </w:pPr>
      <w:r>
        <w:rPr>
          <w:rFonts w:hint="eastAsia" w:ascii="黑体" w:hAnsi="宋体" w:eastAsia="黑体"/>
          <w:position w:val="3"/>
          <w:sz w:val="32"/>
          <w:szCs w:val="32"/>
          <w:lang w:val="zh-CN"/>
        </w:rPr>
        <w:t>六、改进建议</w:t>
      </w:r>
    </w:p>
    <w:p>
      <w:pPr>
        <w:tabs>
          <w:tab w:val="left" w:pos="1911"/>
        </w:tabs>
        <w:ind w:firstLine="640" w:firstLineChars="200"/>
        <w:jc w:val="left"/>
        <w:rPr>
          <w:rFonts w:ascii="仿宋_GB2312" w:hAnsi="仿宋_GB2312" w:cs="仿宋_GB2312"/>
          <w:kern w:val="0"/>
          <w:lang w:val="en"/>
        </w:rPr>
      </w:pPr>
      <w:bookmarkStart w:id="84" w:name="_Hlk110546638"/>
      <w:r>
        <w:rPr>
          <w:rFonts w:hint="eastAsia" w:ascii="仿宋_GB2312" w:hAnsi="仿宋_GB2312" w:cs="仿宋_GB2312"/>
          <w:kern w:val="0"/>
          <w:szCs w:val="32"/>
        </w:rPr>
        <w:t>2024年度，力争在8月前完成办公设备采购工作，保障预算进度正常执行。</w:t>
      </w:r>
    </w:p>
    <w:bookmarkEnd w:id="84"/>
    <w:p>
      <w:pPr>
        <w:pStyle w:val="2"/>
        <w:tabs>
          <w:tab w:val="left" w:pos="1230"/>
        </w:tabs>
        <w:spacing w:before="93"/>
        <w:rPr>
          <w:lang w:val="en"/>
        </w:rPr>
      </w:pPr>
    </w:p>
    <w:p>
      <w:pPr>
        <w:pStyle w:val="2"/>
        <w:tabs>
          <w:tab w:val="left" w:pos="1230"/>
        </w:tabs>
        <w:spacing w:before="93"/>
        <w:rPr>
          <w:lang w:val="en"/>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关于乡村振兴工作经费的绩效评价报告</w:t>
      </w:r>
    </w:p>
    <w:p>
      <w:pPr>
        <w:pStyle w:val="38"/>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（一）设立背景及基本情况。</w:t>
      </w:r>
      <w:r>
        <w:rPr>
          <w:rFonts w:hint="eastAsia" w:ascii="仿宋_GB2312" w:hAnsi="仿宋_GB2312" w:cs="仿宋_GB2312"/>
          <w:kern w:val="0"/>
          <w:szCs w:val="32"/>
          <w:shd w:val="clear" w:color="auto" w:fill="FFFFFF"/>
        </w:rPr>
        <w:t>本项目的主要内容是巩固提升剑阁县普安镇白虎村脱贫攻坚成果，用于驻村队员购置生活用品、驻村补助、租车费等。通过开展乡村振兴工作，助推农户产业发展，持续巩固脱贫攻坚成果，逐步实现向全面推进乡村振兴平稳过度。</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（二）</w:t>
      </w:r>
      <w:r>
        <w:rPr>
          <w:rFonts w:ascii="楷体_GB2312" w:hAnsi="宋体" w:eastAsia="楷体_GB2312"/>
          <w:b/>
          <w:szCs w:val="32"/>
        </w:rPr>
        <w:t>实施目的及支持方向</w:t>
      </w:r>
      <w:r>
        <w:rPr>
          <w:rFonts w:hint="eastAsia" w:ascii="楷体_GB2312" w:hAnsi="宋体" w:eastAsia="楷体_GB2312"/>
          <w:b/>
          <w:szCs w:val="32"/>
        </w:rPr>
        <w:t>。</w:t>
      </w:r>
      <w:r>
        <w:rPr>
          <w:rFonts w:hint="eastAsia" w:ascii="仿宋_GB2312" w:hAnsi="仿宋_GB2312" w:cs="仿宋_GB2312"/>
          <w:kern w:val="0"/>
          <w:szCs w:val="32"/>
          <w:shd w:val="clear" w:color="auto" w:fill="FFFFFF"/>
        </w:rPr>
        <w:t>项目资金</w:t>
      </w:r>
      <w:r>
        <w:rPr>
          <w:rFonts w:hint="eastAsia" w:ascii="仿宋_GB2312" w:hAnsi="仿宋_GB2312" w:cs="仿宋_GB2312"/>
          <w:kern w:val="0"/>
          <w:szCs w:val="32"/>
          <w:shd w:val="clear" w:color="auto" w:fill="FFFFFF"/>
          <w:lang w:val="zh-CN"/>
        </w:rPr>
        <w:t>管理办法严格按照中央、省、市相关制度规定的标准执行，全面保障驻村工作队的驻村补助、交通补助、乡镇补贴等，为乡村振兴工作的开展奠定了坚实基础。</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（三）</w:t>
      </w:r>
      <w:r>
        <w:rPr>
          <w:rFonts w:ascii="楷体_GB2312" w:hAnsi="宋体" w:eastAsia="楷体_GB2312"/>
          <w:b/>
          <w:szCs w:val="32"/>
        </w:rPr>
        <w:t>预算安排及分配管理</w:t>
      </w:r>
      <w:r>
        <w:rPr>
          <w:rFonts w:hint="eastAsia" w:ascii="楷体_GB2312" w:hAnsi="宋体" w:eastAsia="楷体_GB2312"/>
          <w:b/>
          <w:szCs w:val="32"/>
          <w:lang w:val="zh-CN"/>
        </w:rPr>
        <w:t>。</w:t>
      </w:r>
      <w:r>
        <w:rPr>
          <w:rFonts w:hint="eastAsia" w:ascii="仿宋_GB2312" w:hAnsi="仿宋_GB2312" w:cs="仿宋_GB2312"/>
          <w:kern w:val="0"/>
          <w:szCs w:val="32"/>
          <w:shd w:val="clear" w:color="auto" w:fill="FFFFFF"/>
          <w:lang w:val="zh-CN"/>
        </w:rPr>
        <w:t>项目预算均来源于年初预算，属财政全额拨款项目，项目按照中央、省、市相关制度规定的标准执行。</w:t>
      </w:r>
    </w:p>
    <w:p>
      <w:pPr>
        <w:adjustRightInd w:val="0"/>
        <w:snapToGrid w:val="0"/>
        <w:spacing w:line="578" w:lineRule="exact"/>
        <w:ind w:firstLine="642" w:firstLineChars="200"/>
        <w:rPr>
          <w:rFonts w:ascii="仿宋_GB2312" w:hAnsi="仿宋_GB2312" w:cs="仿宋_GB2312"/>
          <w:kern w:val="0"/>
          <w:shd w:val="clear" w:color="auto" w:fill="FFFFFF"/>
          <w:lang w:val="zh-CN"/>
        </w:rPr>
      </w:pPr>
      <w:r>
        <w:rPr>
          <w:rFonts w:hint="eastAsia" w:ascii="楷体_GB2312" w:hAnsi="宋体" w:eastAsia="楷体_GB2312"/>
          <w:b/>
          <w:szCs w:val="32"/>
          <w:lang w:val="zh-CN"/>
        </w:rPr>
        <w:t>（四）项目绩效目标设置。</w:t>
      </w:r>
      <w:r>
        <w:rPr>
          <w:rFonts w:hint="eastAsia" w:ascii="仿宋_GB2312" w:hAnsi="仿宋_GB2312" w:cs="仿宋_GB2312"/>
          <w:kern w:val="0"/>
          <w:szCs w:val="32"/>
          <w:shd w:val="clear" w:color="auto" w:fill="FFFFFF"/>
          <w:lang w:val="zh-CN"/>
        </w:rPr>
        <w:t>根据项目实施情况，设置帮扶村数量、覆盖脱贫户和监测户数、驻村人数、年度帮扶工作完成时间、返贫率、帮扶群众满意度、帮扶成本绩效目标，保障该项目正常实施。后期，根据财政局要求，按时进行绩效运行监控，完成自评工组。</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pPr>
      <w:r>
        <w:rPr>
          <w:rFonts w:hint="eastAsia" w:ascii="楷体_GB2312" w:hAnsi="宋体" w:eastAsia="楷体_GB2312"/>
          <w:b/>
          <w:szCs w:val="32"/>
          <w:lang w:val="zh-CN"/>
        </w:rPr>
        <w:t>（一）评价目的。</w:t>
      </w:r>
      <w:r>
        <w:rPr>
          <w:szCs w:val="32"/>
        </w:rPr>
        <w:t>通过</w:t>
      </w:r>
      <w:r>
        <w:rPr>
          <w:rFonts w:hint="eastAsia"/>
          <w:szCs w:val="32"/>
        </w:rPr>
        <w:t>项目绩效自评，可以及时发现项目实施过程中存在的问题，加强项目的自主监督和管理，提高项目管理能力；可以直观了解项目的实际状态，为类似项目的管理和资金使用提供丰富经验和运行建议。</w:t>
      </w:r>
    </w:p>
    <w:p>
      <w:pPr>
        <w:adjustRightInd w:val="0"/>
        <w:snapToGrid w:val="0"/>
        <w:spacing w:line="578" w:lineRule="exact"/>
        <w:ind w:firstLine="642" w:firstLineChars="200"/>
      </w:pPr>
      <w:r>
        <w:rPr>
          <w:rFonts w:hint="eastAsia" w:ascii="楷体_GB2312" w:hAnsi="宋体" w:eastAsia="楷体_GB2312"/>
          <w:b/>
          <w:szCs w:val="32"/>
          <w:lang w:val="zh-CN"/>
        </w:rPr>
        <w:t>（二）预设问题及评价重点。</w:t>
      </w:r>
      <w:r>
        <w:rPr>
          <w:rFonts w:hint="eastAsia"/>
          <w:szCs w:val="32"/>
        </w:rPr>
        <w:t>按照绩效评价指标体系，我委对项目资金支出使用全过程进行监督，按时评估资金进度，对按时完成项目目标提供有力监督，有效控制了项目成本。</w:t>
      </w:r>
    </w:p>
    <w:p>
      <w:pPr>
        <w:adjustRightInd w:val="0"/>
        <w:snapToGrid w:val="0"/>
        <w:spacing w:line="578" w:lineRule="exact"/>
        <w:ind w:firstLine="642" w:firstLineChars="200"/>
        <w:rPr>
          <w:lang w:val="zh-CN"/>
        </w:rPr>
      </w:pPr>
      <w:r>
        <w:rPr>
          <w:rFonts w:hint="eastAsia" w:ascii="楷体_GB2312" w:hAnsi="宋体" w:eastAsia="楷体_GB2312"/>
          <w:b/>
          <w:szCs w:val="32"/>
          <w:lang w:val="zh-CN"/>
        </w:rPr>
        <w:t>（三）评价选点。</w:t>
      </w:r>
      <w:r>
        <w:rPr>
          <w:rFonts w:hint="eastAsia"/>
          <w:szCs w:val="32"/>
          <w:lang w:val="zh-CN"/>
        </w:rPr>
        <w:t>根据乡村振兴工作开展情况、返贫率、</w:t>
      </w:r>
      <w:r>
        <w:rPr>
          <w:rFonts w:hint="eastAsia" w:ascii="仿宋_GB2312" w:hAnsi="仿宋_GB2312" w:cs="仿宋_GB2312"/>
          <w:kern w:val="0"/>
          <w:szCs w:val="32"/>
          <w:shd w:val="clear" w:color="auto" w:fill="FFFFFF"/>
          <w:lang w:val="zh-CN"/>
        </w:rPr>
        <w:t>覆盖脱贫户和监测户数、帮扶群众</w:t>
      </w:r>
      <w:r>
        <w:rPr>
          <w:rFonts w:hint="eastAsia"/>
          <w:szCs w:val="32"/>
          <w:lang w:val="zh-CN"/>
        </w:rPr>
        <w:t>满意度等指标进行全方位评价。</w:t>
      </w:r>
    </w:p>
    <w:p>
      <w:pPr>
        <w:spacing w:line="578" w:lineRule="exact"/>
        <w:ind w:firstLine="640"/>
      </w:pPr>
      <w:r>
        <w:rPr>
          <w:rFonts w:hint="eastAsia" w:ascii="楷体_GB2312" w:hAnsi="宋体" w:eastAsia="楷体_GB2312"/>
          <w:b/>
          <w:szCs w:val="32"/>
          <w:lang w:val="zh-CN"/>
        </w:rPr>
        <w:t>（四）评价方法。</w:t>
      </w:r>
      <w:r>
        <w:rPr>
          <w:szCs w:val="32"/>
        </w:rPr>
        <w:t>根据</w:t>
      </w:r>
      <w:r>
        <w:rPr>
          <w:rFonts w:hint="eastAsia"/>
          <w:szCs w:val="32"/>
          <w:lang w:val="zh-CN"/>
        </w:rPr>
        <w:t>乡村振兴工作经费</w:t>
      </w:r>
      <w:r>
        <w:rPr>
          <w:szCs w:val="32"/>
        </w:rPr>
        <w:t>项目情况和评价重点</w:t>
      </w:r>
      <w:r>
        <w:rPr>
          <w:rFonts w:hint="eastAsia"/>
          <w:szCs w:val="32"/>
        </w:rPr>
        <w:t>，我委</w:t>
      </w:r>
      <w:r>
        <w:rPr>
          <w:szCs w:val="32"/>
        </w:rPr>
        <w:t>采用</w:t>
      </w:r>
      <w:r>
        <w:rPr>
          <w:rFonts w:hint="eastAsia"/>
          <w:szCs w:val="32"/>
        </w:rPr>
        <w:t>成本效益分析法、</w:t>
      </w:r>
      <w:r>
        <w:rPr>
          <w:szCs w:val="32"/>
        </w:rPr>
        <w:t>单位自评法、实地勘察法</w:t>
      </w:r>
      <w:r>
        <w:rPr>
          <w:rFonts w:hint="eastAsia"/>
          <w:szCs w:val="32"/>
        </w:rPr>
        <w:t>进行项目评价。</w:t>
      </w:r>
    </w:p>
    <w:p>
      <w:pPr>
        <w:spacing w:line="578" w:lineRule="exact"/>
        <w:ind w:firstLine="640"/>
        <w:rPr>
          <w:bCs/>
        </w:rPr>
      </w:pPr>
      <w:r>
        <w:rPr>
          <w:rFonts w:hint="eastAsia" w:ascii="楷体_GB2312" w:hAnsi="宋体" w:eastAsia="楷体_GB2312"/>
          <w:b/>
          <w:szCs w:val="32"/>
          <w:lang w:val="zh-CN"/>
        </w:rPr>
        <w:t>（五）评价组织。</w:t>
      </w:r>
      <w:r>
        <w:rPr>
          <w:rFonts w:hint="eastAsia"/>
          <w:szCs w:val="32"/>
        </w:rPr>
        <w:t>项目由乡村振兴驻村工作队实施，由人事科、财务负责人及相关分管领导进行评价。</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pPr>
      <w:r>
        <w:rPr>
          <w:szCs w:val="32"/>
          <w:lang w:val="zh-CN"/>
        </w:rPr>
        <w:t>根据</w:t>
      </w:r>
      <w:r>
        <w:rPr>
          <w:rFonts w:hint="eastAsia"/>
          <w:szCs w:val="32"/>
          <w:lang w:val="zh-CN"/>
        </w:rPr>
        <w:t>项目</w:t>
      </w:r>
      <w:r>
        <w:rPr>
          <w:szCs w:val="32"/>
          <w:lang w:val="zh-CN"/>
        </w:rPr>
        <w:t>预算绩效评价指标体系“</w:t>
      </w:r>
      <w:r>
        <w:rPr>
          <w:rFonts w:hint="eastAsia"/>
          <w:szCs w:val="32"/>
          <w:lang w:val="zh-CN"/>
        </w:rPr>
        <w:t>通用指标</w:t>
      </w:r>
      <w:r>
        <w:rPr>
          <w:szCs w:val="32"/>
          <w:lang w:val="zh-CN"/>
        </w:rPr>
        <w:t>”</w:t>
      </w:r>
      <w:r>
        <w:rPr>
          <w:rFonts w:hint="eastAsia"/>
          <w:szCs w:val="32"/>
          <w:lang w:val="zh-CN"/>
        </w:rPr>
        <w:t>“专用指标”“个性指标”</w:t>
      </w:r>
      <w:r>
        <w:rPr>
          <w:szCs w:val="32"/>
          <w:lang w:val="zh-CN"/>
        </w:rPr>
        <w:t>涉及</w:t>
      </w:r>
      <w:r>
        <w:rPr>
          <w:rFonts w:hint="eastAsia"/>
          <w:szCs w:val="32"/>
          <w:lang w:val="zh-CN"/>
        </w:rPr>
        <w:t>二、三级</w:t>
      </w:r>
      <w:r>
        <w:rPr>
          <w:szCs w:val="32"/>
          <w:lang w:val="zh-CN"/>
        </w:rPr>
        <w:t>指标进行</w:t>
      </w:r>
      <w:r>
        <w:rPr>
          <w:rFonts w:hint="eastAsia"/>
          <w:szCs w:val="32"/>
          <w:lang w:val="zh-CN"/>
        </w:rPr>
        <w:t>逐项</w:t>
      </w:r>
      <w:r>
        <w:rPr>
          <w:szCs w:val="32"/>
          <w:lang w:val="zh-CN"/>
        </w:rPr>
        <w:t>绩效分析</w:t>
      </w:r>
      <w:r>
        <w:rPr>
          <w:rFonts w:hint="eastAsia"/>
          <w:szCs w:val="32"/>
          <w:lang w:val="zh-CN"/>
        </w:rPr>
        <w:t>并评分</w:t>
      </w:r>
      <w:r>
        <w:rPr>
          <w:rFonts w:hint="eastAsia"/>
          <w:szCs w:val="32"/>
        </w:rPr>
        <w:t>。</w:t>
      </w:r>
    </w:p>
    <w:p>
      <w:pPr>
        <w:spacing w:line="578" w:lineRule="exact"/>
        <w:ind w:firstLine="640"/>
        <w:rPr>
          <w:rFonts w:ascii="楷体_GB2312" w:hAnsi="宋体" w:eastAsia="楷体_GB2312"/>
          <w:b/>
        </w:rPr>
      </w:pPr>
      <w:r>
        <w:rPr>
          <w:rFonts w:hint="eastAsia" w:ascii="楷体_GB2312" w:hAnsi="宋体" w:eastAsia="楷体_GB2312"/>
          <w:b/>
          <w:szCs w:val="32"/>
          <w:lang w:val="zh-CN"/>
        </w:rPr>
        <w:t>（一）</w:t>
      </w:r>
      <w:r>
        <w:rPr>
          <w:rFonts w:hint="eastAsia" w:ascii="楷体_GB2312" w:hAnsi="宋体" w:eastAsia="楷体_GB2312"/>
          <w:b/>
          <w:szCs w:val="32"/>
        </w:rPr>
        <w:t>通用指标</w:t>
      </w:r>
      <w:r>
        <w:rPr>
          <w:rFonts w:eastAsia="楷体_GB2312"/>
          <w:b/>
          <w:bCs/>
          <w:color w:val="000000"/>
          <w:kern w:val="0"/>
          <w:szCs w:val="32"/>
          <w:shd w:val="clear" w:color="auto" w:fill="FFFFFF"/>
          <w:lang w:val="zh-CN"/>
        </w:rPr>
        <w:t>绩效分析。</w:t>
      </w:r>
    </w:p>
    <w:p>
      <w:pPr>
        <w:spacing w:line="578" w:lineRule="exact"/>
        <w:ind w:firstLine="640"/>
      </w:pPr>
      <w:r>
        <w:rPr>
          <w:rFonts w:hint="eastAsia" w:ascii="楷体_GB2312" w:hAnsi="楷体_GB2312" w:eastAsia="楷体_GB2312" w:cs="楷体_GB2312"/>
          <w:szCs w:val="32"/>
        </w:rPr>
        <w:t>1.项目决策。</w:t>
      </w:r>
      <w:r>
        <w:rPr>
          <w:rFonts w:hint="eastAsia" w:ascii="仿宋_GB2312" w:hAnsi="仿宋_GB2312" w:cs="仿宋_GB2312"/>
          <w:kern w:val="0"/>
          <w:szCs w:val="32"/>
          <w:shd w:val="clear" w:color="auto" w:fill="FFFFFF"/>
          <w:lang w:val="zh-CN"/>
        </w:rPr>
        <w:t>项目按照中央、省、市相关制度规定的标准执行，全力做好巩固脱贫攻坚成果同乡村振兴有效衔接相关工作，</w:t>
      </w:r>
      <w:r>
        <w:rPr>
          <w:rFonts w:hint="eastAsia"/>
          <w:szCs w:val="32"/>
        </w:rPr>
        <w:t>决策程序规范、规划论证严密、资金投向合规。自评18分。</w:t>
      </w:r>
    </w:p>
    <w:p>
      <w:pPr>
        <w:spacing w:line="578" w:lineRule="exact"/>
        <w:ind w:firstLine="640"/>
      </w:pPr>
      <w:r>
        <w:rPr>
          <w:rFonts w:hint="eastAsia" w:ascii="楷体_GB2312" w:hAnsi="楷体_GB2312" w:eastAsia="楷体_GB2312" w:cs="楷体_GB2312"/>
          <w:szCs w:val="32"/>
        </w:rPr>
        <w:t>2.项目管理。</w:t>
      </w:r>
      <w:r>
        <w:rPr>
          <w:rFonts w:hint="eastAsia"/>
          <w:szCs w:val="32"/>
          <w:lang w:val="zh-CN"/>
        </w:rPr>
        <w:t>资金管理办法等管理制度体系健全完善，不存在管理制度缺失现象，资金分配管理经过前期充分调研，管理规范合理，实施全过程进行监控</w:t>
      </w:r>
      <w:r>
        <w:rPr>
          <w:rFonts w:hint="eastAsia"/>
          <w:szCs w:val="32"/>
        </w:rPr>
        <w:t>。自评18分。</w:t>
      </w:r>
    </w:p>
    <w:p>
      <w:pPr>
        <w:spacing w:line="578" w:lineRule="exact"/>
        <w:ind w:firstLine="640"/>
        <w:rPr>
          <w:lang w:val="zh-CN"/>
        </w:rPr>
      </w:pPr>
      <w:r>
        <w:rPr>
          <w:rFonts w:hint="eastAsia" w:ascii="楷体_GB2312" w:hAnsi="楷体_GB2312" w:eastAsia="楷体_GB2312" w:cs="楷体_GB2312"/>
          <w:szCs w:val="32"/>
        </w:rPr>
        <w:t>3.项目实施。</w:t>
      </w:r>
      <w:r>
        <w:rPr>
          <w:rFonts w:hint="eastAsia"/>
          <w:szCs w:val="32"/>
          <w:lang w:val="zh-CN"/>
        </w:rPr>
        <w:t>乡村振兴工作经费来源于财政拨款，纳入</w:t>
      </w:r>
      <w:r>
        <w:rPr>
          <w:rFonts w:hint="eastAsia"/>
          <w:szCs w:val="32"/>
        </w:rPr>
        <w:t>2023年预算中，资金到位及时率100%，资金使用符合国家财经法规、财务管理制度及有关专项资金管理制度办法规定和审批程序</w:t>
      </w:r>
      <w:r>
        <w:rPr>
          <w:rFonts w:hint="eastAsia"/>
          <w:szCs w:val="32"/>
          <w:lang w:val="zh-CN"/>
        </w:rPr>
        <w:t>。</w:t>
      </w:r>
      <w:r>
        <w:rPr>
          <w:rFonts w:hint="eastAsia"/>
          <w:szCs w:val="32"/>
        </w:rPr>
        <w:t>自评9分。</w:t>
      </w:r>
    </w:p>
    <w:p>
      <w:pPr>
        <w:spacing w:line="578" w:lineRule="exact"/>
        <w:ind w:firstLine="640"/>
        <w:rPr>
          <w:lang w:val="zh-CN"/>
        </w:rPr>
      </w:pPr>
      <w:r>
        <w:rPr>
          <w:rFonts w:hint="eastAsia" w:ascii="楷体_GB2312" w:hAnsi="楷体_GB2312" w:eastAsia="楷体_GB2312" w:cs="楷体_GB2312"/>
          <w:szCs w:val="32"/>
        </w:rPr>
        <w:t>4.项目结果。</w:t>
      </w:r>
      <w:r>
        <w:rPr>
          <w:rFonts w:hint="eastAsia"/>
          <w:szCs w:val="32"/>
        </w:rPr>
        <w:t>项目完成预期目标，实施结果与绩效目标相匹配。自评9分。</w:t>
      </w:r>
    </w:p>
    <w:p>
      <w:pPr>
        <w:spacing w:line="578" w:lineRule="exact"/>
        <w:ind w:firstLine="642" w:firstLineChars="200"/>
        <w:rPr>
          <w:rFonts w:ascii="楷体_GB2312" w:hAnsi="楷体_GB2312" w:eastAsia="楷体_GB2312" w:cs="楷体_GB2312"/>
          <w:lang w:val="zh-CN"/>
        </w:rPr>
      </w:pPr>
      <w:r>
        <w:rPr>
          <w:rFonts w:hint="eastAsia" w:ascii="楷体_GB2312" w:hAnsi="宋体" w:eastAsia="楷体_GB2312"/>
          <w:b/>
          <w:szCs w:val="32"/>
          <w:lang w:val="zh-CN"/>
        </w:rPr>
        <w:t>（二）</w:t>
      </w:r>
      <w:r>
        <w:rPr>
          <w:rFonts w:hint="eastAsia" w:ascii="楷体_GB2312" w:hAnsi="宋体" w:eastAsia="楷体_GB2312"/>
          <w:b/>
          <w:szCs w:val="32"/>
        </w:rPr>
        <w:t>专用指标</w:t>
      </w:r>
      <w:r>
        <w:rPr>
          <w:rFonts w:eastAsia="楷体_GB2312"/>
          <w:b/>
          <w:bCs/>
          <w:color w:val="000000"/>
          <w:kern w:val="0"/>
          <w:szCs w:val="32"/>
          <w:shd w:val="clear" w:color="auto" w:fill="FFFFFF"/>
          <w:lang w:val="zh-CN"/>
        </w:rPr>
        <w:t>绩效分析。</w:t>
      </w:r>
    </w:p>
    <w:p>
      <w:pPr>
        <w:spacing w:line="578" w:lineRule="exact"/>
        <w:ind w:firstLine="640" w:firstLineChars="200"/>
      </w:pPr>
      <w:r>
        <w:rPr>
          <w:rFonts w:hint="eastAsia" w:ascii="楷体_GB2312" w:hAnsi="楷体_GB2312" w:eastAsia="楷体_GB2312" w:cs="楷体_GB2312"/>
          <w:szCs w:val="32"/>
          <w:lang w:val="zh-CN"/>
        </w:rPr>
        <w:t>民生保障。</w:t>
      </w:r>
      <w:r>
        <w:rPr>
          <w:rFonts w:hint="eastAsia"/>
          <w:szCs w:val="32"/>
        </w:rPr>
        <w:t>区域均衡性方面，该项目经费根据驻村人数预算，每人1.8万元每年，充分体现项目资金分配的均衡公平；对象精准性方面，资金实际支持对象是全脱产驻村的三位同志，完全符合管理要求；标准合理性方面，资金实际补贴标准是根据四川省乡村振兴管理办法发放，完全符合资金管理办法规定的补助标准；群众满意度方面，驻村工作队致力于帮扶剑阁县普安镇白虎村乡村振兴事业，其工作成效得到白虎村村民、普安镇党委一致肯定。自评30分。</w:t>
      </w:r>
    </w:p>
    <w:p>
      <w:pPr>
        <w:spacing w:line="578" w:lineRule="exact"/>
        <w:ind w:firstLine="640"/>
        <w:rPr>
          <w:szCs w:val="32"/>
        </w:rPr>
      </w:pPr>
      <w:r>
        <w:rPr>
          <w:rFonts w:hint="eastAsia" w:ascii="楷体_GB2312" w:hAnsi="宋体" w:eastAsia="楷体_GB2312"/>
          <w:b/>
          <w:szCs w:val="32"/>
          <w:lang w:val="zh-CN"/>
        </w:rPr>
        <w:t>（三）</w:t>
      </w:r>
      <w:r>
        <w:rPr>
          <w:rFonts w:hint="eastAsia" w:ascii="楷体_GB2312" w:hAnsi="宋体" w:eastAsia="楷体_GB2312"/>
          <w:b/>
          <w:szCs w:val="32"/>
        </w:rPr>
        <w:t>个性指标</w:t>
      </w:r>
      <w:r>
        <w:rPr>
          <w:rFonts w:eastAsia="楷体_GB2312"/>
          <w:b/>
          <w:bCs/>
          <w:color w:val="000000"/>
          <w:kern w:val="0"/>
          <w:szCs w:val="32"/>
          <w:shd w:val="clear" w:color="auto" w:fill="FFFFFF"/>
          <w:lang w:val="zh-CN"/>
        </w:rPr>
        <w:t>绩效分析。</w:t>
      </w:r>
      <w:r>
        <w:rPr>
          <w:rFonts w:hint="eastAsia"/>
          <w:szCs w:val="32"/>
          <w:lang w:val="zh-CN"/>
        </w:rPr>
        <w:t>根据项目个性自行设定绩效目标分析情况如下：覆盖脱贫户和监测户数做到</w:t>
      </w:r>
      <w:r>
        <w:rPr>
          <w:rFonts w:hint="eastAsia"/>
          <w:szCs w:val="32"/>
        </w:rPr>
        <w:t>109户全覆盖；村镇人居环境整治提升成效好，生活垃圾和污水处理得当，符合标准；驻村资料完备齐全，驻村工作日志完整，工作均有记录。自评16分。</w:t>
      </w:r>
    </w:p>
    <w:p>
      <w:pPr>
        <w:spacing w:line="578" w:lineRule="exact"/>
        <w:ind w:firstLine="640"/>
      </w:pPr>
      <w:r>
        <w:rPr>
          <w:rFonts w:hint="eastAsia" w:ascii="黑体" w:hAnsi="宋体" w:eastAsia="黑体"/>
          <w:szCs w:val="32"/>
        </w:rPr>
        <w:t>四、评价结论</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全面保障驻村工作队2023年度的驻村补助、交通补助、乡镇补贴，帮扶村帮扶工作有序推进，驻村人数稳定，返贫率为0，群众满意度高。自评100分。</w:t>
      </w:r>
    </w:p>
    <w:p>
      <w:pPr>
        <w:pStyle w:val="2"/>
        <w:spacing w:before="93" w:line="600" w:lineRule="exact"/>
        <w:ind w:firstLine="640" w:firstLineChars="200"/>
        <w:rPr>
          <w:rFonts w:ascii="黑体" w:hAnsi="黑体" w:cs="黑体"/>
          <w:kern w:val="2"/>
          <w:sz w:val="32"/>
          <w:szCs w:val="32"/>
        </w:rPr>
      </w:pPr>
      <w:r>
        <w:rPr>
          <w:rFonts w:hint="eastAsia" w:ascii="黑体" w:hAnsi="黑体" w:eastAsia="黑体"/>
          <w:sz w:val="32"/>
          <w:szCs w:val="32"/>
        </w:rPr>
        <w:t>五、存在主要问</w:t>
      </w:r>
      <w:r>
        <w:rPr>
          <w:rFonts w:hint="eastAsia" w:ascii="黑体" w:hAnsi="宋体" w:eastAsia="黑体"/>
          <w:sz w:val="32"/>
          <w:szCs w:val="32"/>
        </w:rPr>
        <w:t>题</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按照省市相关文件，需保障驻村工作队驻村补助、交通补助、乡镇补贴、体检等费用，我委乡村振兴项目资金存在缺口。</w:t>
      </w:r>
    </w:p>
    <w:p>
      <w:pPr>
        <w:pStyle w:val="2"/>
        <w:spacing w:before="93" w:line="600" w:lineRule="exact"/>
        <w:ind w:firstLine="640" w:firstLineChars="200"/>
        <w:rPr>
          <w:rFonts w:ascii="黑体" w:hAnsi="宋体"/>
          <w:sz w:val="32"/>
          <w:szCs w:val="32"/>
          <w:lang w:val="zh-CN"/>
        </w:rPr>
      </w:pPr>
      <w:r>
        <w:rPr>
          <w:rFonts w:hint="eastAsia" w:ascii="黑体" w:hAnsi="宋体" w:eastAsia="黑体"/>
          <w:position w:val="3"/>
          <w:sz w:val="32"/>
          <w:szCs w:val="32"/>
          <w:lang w:val="zh-CN"/>
        </w:rPr>
        <w:t>六、改进建议</w:t>
      </w:r>
    </w:p>
    <w:p>
      <w:pPr>
        <w:pStyle w:val="2"/>
        <w:tabs>
          <w:tab w:val="left" w:pos="1230"/>
        </w:tabs>
        <w:spacing w:before="93"/>
        <w:ind w:firstLine="640" w:firstLineChars="200"/>
        <w:rPr>
          <w:rFonts w:hAnsi="仿宋_GB2312" w:cs="仿宋_GB2312"/>
          <w:sz w:val="32"/>
          <w:szCs w:val="32"/>
        </w:rPr>
      </w:pPr>
      <w:r>
        <w:rPr>
          <w:rFonts w:hint="eastAsia" w:hAnsi="仿宋_GB2312" w:cs="仿宋_GB2312"/>
          <w:sz w:val="32"/>
          <w:szCs w:val="32"/>
        </w:rPr>
        <w:t>希望财政增加乡村振兴工作经费预算金额，弥补资金缺口。</w:t>
      </w:r>
    </w:p>
    <w:p>
      <w:pPr>
        <w:pStyle w:val="2"/>
        <w:tabs>
          <w:tab w:val="left" w:pos="1230"/>
        </w:tabs>
        <w:spacing w:before="93"/>
        <w:ind w:firstLine="640" w:firstLineChars="200"/>
        <w:rPr>
          <w:rFonts w:hAnsi="仿宋_GB2312" w:cs="仿宋_GB2312"/>
          <w:sz w:val="32"/>
          <w:szCs w:val="32"/>
        </w:rPr>
      </w:pPr>
    </w:p>
    <w:p>
      <w:pPr>
        <w:pStyle w:val="2"/>
        <w:tabs>
          <w:tab w:val="left" w:pos="1230"/>
        </w:tabs>
        <w:spacing w:before="93"/>
        <w:ind w:firstLine="640" w:firstLineChars="200"/>
        <w:rPr>
          <w:rFonts w:hAnsi="仿宋_GB2312" w:cs="仿宋_GB2312"/>
          <w:sz w:val="32"/>
          <w:szCs w:val="32"/>
        </w:rPr>
      </w:pPr>
    </w:p>
    <w:p>
      <w:pPr>
        <w:pStyle w:val="38"/>
        <w:tabs>
          <w:tab w:val="left" w:pos="450"/>
          <w:tab w:val="center" w:pos="4153"/>
        </w:tabs>
        <w:spacing w:line="578" w:lineRule="exact"/>
        <w:jc w:val="left"/>
        <w:rPr>
          <w:rFonts w:ascii="方正小标宋简体" w:hAnsi="方正小标宋简体" w:eastAsia="方正小标宋简体" w:cs="方正小标宋简体"/>
          <w:color w:val="auto"/>
          <w:kern w:val="2"/>
          <w:sz w:val="44"/>
          <w:szCs w:val="44"/>
          <w:lang w:val="en-US"/>
        </w:rPr>
      </w:pPr>
      <w:r>
        <w:rPr>
          <w:rFonts w:ascii="方正小标宋简体" w:hAnsi="方正小标宋简体" w:eastAsia="方正小标宋简体" w:cs="方正小标宋简体"/>
          <w:color w:val="auto"/>
          <w:kern w:val="2"/>
          <w:sz w:val="44"/>
          <w:szCs w:val="44"/>
          <w:lang w:val="en-US"/>
        </w:rPr>
        <w:tab/>
      </w:r>
    </w:p>
    <w:p>
      <w:pPr>
        <w:pStyle w:val="38"/>
        <w:tabs>
          <w:tab w:val="left" w:pos="450"/>
          <w:tab w:val="center" w:pos="4153"/>
        </w:tabs>
        <w:spacing w:line="578" w:lineRule="exact"/>
        <w:jc w:val="left"/>
        <w:rPr>
          <w:rFonts w:ascii="方正小标宋简体" w:hAnsi="方正小标宋简体" w:eastAsia="方正小标宋简体" w:cs="方正小标宋简体"/>
          <w:color w:val="auto"/>
          <w:kern w:val="2"/>
          <w:sz w:val="44"/>
          <w:szCs w:val="44"/>
          <w:lang w:val="en-US"/>
        </w:rPr>
      </w:pPr>
    </w:p>
    <w:p>
      <w:pPr>
        <w:pStyle w:val="38"/>
        <w:tabs>
          <w:tab w:val="left" w:pos="450"/>
          <w:tab w:val="center" w:pos="4153"/>
        </w:tabs>
        <w:spacing w:line="578" w:lineRule="exact"/>
        <w:jc w:val="left"/>
        <w:rPr>
          <w:rFonts w:ascii="方正小标宋简体" w:hAnsi="方正小标宋简体" w:eastAsia="方正小标宋简体" w:cs="方正小标宋简体"/>
          <w:color w:val="auto"/>
          <w:kern w:val="2"/>
          <w:sz w:val="44"/>
          <w:szCs w:val="44"/>
          <w:lang w:val="en-US"/>
        </w:rPr>
      </w:pPr>
    </w:p>
    <w:p>
      <w:pPr>
        <w:pStyle w:val="38"/>
        <w:tabs>
          <w:tab w:val="left" w:pos="450"/>
          <w:tab w:val="center" w:pos="4153"/>
        </w:tabs>
        <w:spacing w:line="578" w:lineRule="exact"/>
        <w:jc w:val="left"/>
        <w:rPr>
          <w:rFonts w:ascii="方正小标宋简体" w:hAnsi="方正小标宋简体" w:eastAsia="方正小标宋简体" w:cs="方正小标宋简体"/>
          <w:color w:val="auto"/>
          <w:kern w:val="2"/>
          <w:sz w:val="44"/>
          <w:szCs w:val="44"/>
          <w:lang w:val="en-US"/>
        </w:rPr>
      </w:pPr>
    </w:p>
    <w:p>
      <w:pPr>
        <w:pStyle w:val="38"/>
        <w:tabs>
          <w:tab w:val="left" w:pos="450"/>
          <w:tab w:val="center" w:pos="4153"/>
        </w:tabs>
        <w:spacing w:line="578" w:lineRule="exact"/>
        <w:jc w:val="left"/>
        <w:rPr>
          <w:rFonts w:ascii="方正小标宋简体" w:hAnsi="方正小标宋简体" w:eastAsia="方正小标宋简体" w:cs="方正小标宋简体"/>
          <w:color w:val="auto"/>
          <w:kern w:val="2"/>
          <w:sz w:val="44"/>
          <w:szCs w:val="44"/>
          <w:lang w:val="en-US"/>
        </w:rPr>
      </w:pPr>
    </w:p>
    <w:p>
      <w:pPr>
        <w:pStyle w:val="38"/>
        <w:tabs>
          <w:tab w:val="left" w:pos="450"/>
          <w:tab w:val="center" w:pos="4153"/>
        </w:tabs>
        <w:spacing w:line="578" w:lineRule="exact"/>
        <w:jc w:val="left"/>
        <w:rPr>
          <w:rFonts w:ascii="方正小标宋简体" w:hAnsi="方正小标宋简体" w:eastAsia="方正小标宋简体" w:cs="方正小标宋简体"/>
          <w:color w:val="auto"/>
          <w:kern w:val="2"/>
          <w:sz w:val="44"/>
          <w:szCs w:val="44"/>
          <w:lang w:val="en-US"/>
        </w:rPr>
      </w:pPr>
    </w:p>
    <w:p>
      <w:pPr>
        <w:pStyle w:val="38"/>
        <w:tabs>
          <w:tab w:val="left" w:pos="450"/>
          <w:tab w:val="center" w:pos="4153"/>
        </w:tabs>
        <w:spacing w:line="578" w:lineRule="exact"/>
        <w:jc w:val="left"/>
        <w:rPr>
          <w:rFonts w:ascii="方正小标宋简体" w:hAnsi="方正小标宋简体" w:eastAsia="方正小标宋简体" w:cs="方正小标宋简体"/>
          <w:color w:val="auto"/>
          <w:kern w:val="2"/>
          <w:sz w:val="44"/>
          <w:szCs w:val="44"/>
          <w:lang w:val="en-US"/>
        </w:rPr>
      </w:pPr>
      <w:r>
        <w:rPr>
          <w:rFonts w:ascii="方正小标宋简体" w:hAnsi="方正小标宋简体" w:eastAsia="方正小标宋简体" w:cs="方正小标宋简体"/>
          <w:color w:val="auto"/>
          <w:kern w:val="2"/>
          <w:sz w:val="44"/>
          <w:szCs w:val="44"/>
          <w:lang w:val="en-US"/>
        </w:rPr>
        <w:tab/>
      </w:r>
      <w:r>
        <w:rPr>
          <w:rFonts w:hint="eastAsia" w:ascii="方正小标宋简体" w:hAnsi="方正小标宋简体" w:eastAsia="方正小标宋简体" w:cs="方正小标宋简体"/>
          <w:color w:val="auto"/>
          <w:kern w:val="2"/>
          <w:sz w:val="44"/>
          <w:szCs w:val="44"/>
          <w:lang w:val="en-US"/>
        </w:rPr>
        <w:t>关于派驻纪检组经费的绩效评价报告</w:t>
      </w:r>
    </w:p>
    <w:p>
      <w:pPr>
        <w:pStyle w:val="38"/>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widowControl/>
        <w:adjustRightInd w:val="0"/>
        <w:snapToGrid w:val="0"/>
        <w:spacing w:line="578" w:lineRule="exact"/>
        <w:ind w:firstLine="642" w:firstLineChars="200"/>
        <w:contextualSpacing/>
        <w:jc w:val="left"/>
        <w:rPr>
          <w:rFonts w:ascii="仿宋_GB2312" w:hAnsi="仿宋_GB2312" w:cs="仿宋_GB2312"/>
          <w:kern w:val="0"/>
          <w:szCs w:val="32"/>
          <w:shd w:val="clear" w:color="auto" w:fill="FFFFFF"/>
        </w:rPr>
      </w:pPr>
      <w:r>
        <w:rPr>
          <w:rFonts w:hint="eastAsia" w:ascii="楷体_GB2312" w:hAnsi="宋体" w:eastAsia="楷体_GB2312"/>
          <w:b/>
          <w:szCs w:val="32"/>
          <w:lang w:val="zh-CN"/>
        </w:rPr>
        <w:t>（一）设立背景及基本情况。</w:t>
      </w:r>
      <w:r>
        <w:rPr>
          <w:rFonts w:hint="eastAsia" w:ascii="仿宋_GB2312" w:hAnsi="仿宋_GB2312" w:cs="仿宋_GB2312"/>
          <w:kern w:val="0"/>
          <w:szCs w:val="32"/>
          <w:shd w:val="clear" w:color="auto" w:fill="FFFFFF"/>
        </w:rPr>
        <w:t>本项目的主要内容是保障市纪委监委派驻市国资委纪检组日常办公经费，通过项目实施，完成市纪委监委下达的各项目标任务，案件审查调查、日常监督及办公，强化系统治理、权力监督。</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rPr>
      </w:pPr>
      <w:r>
        <w:rPr>
          <w:rFonts w:hint="eastAsia" w:ascii="楷体_GB2312" w:hAnsi="宋体" w:eastAsia="楷体_GB2312"/>
          <w:b/>
          <w:szCs w:val="32"/>
          <w:lang w:val="zh-CN"/>
        </w:rPr>
        <w:t>（二）</w:t>
      </w:r>
      <w:r>
        <w:rPr>
          <w:rFonts w:ascii="楷体_GB2312" w:hAnsi="宋体" w:eastAsia="楷体_GB2312"/>
          <w:b/>
          <w:szCs w:val="32"/>
        </w:rPr>
        <w:t>实施目的及支持方向</w:t>
      </w:r>
      <w:r>
        <w:rPr>
          <w:rFonts w:hint="eastAsia" w:ascii="楷体_GB2312" w:hAnsi="宋体" w:eastAsia="楷体_GB2312"/>
          <w:b/>
          <w:szCs w:val="32"/>
        </w:rPr>
        <w:t>。</w:t>
      </w:r>
      <w:r>
        <w:rPr>
          <w:rFonts w:hint="eastAsia" w:ascii="仿宋_GB2312" w:hAnsi="仿宋_GB2312" w:cs="仿宋_GB2312"/>
          <w:kern w:val="0"/>
          <w:szCs w:val="32"/>
          <w:shd w:val="clear" w:color="auto" w:fill="FFFFFF"/>
        </w:rPr>
        <w:t>项目资金</w:t>
      </w:r>
      <w:r>
        <w:rPr>
          <w:rFonts w:hint="eastAsia" w:ascii="仿宋_GB2312" w:hAnsi="仿宋_GB2312" w:cs="仿宋_GB2312"/>
          <w:kern w:val="0"/>
          <w:szCs w:val="32"/>
          <w:shd w:val="clear" w:color="auto" w:fill="FFFFFF"/>
          <w:lang w:val="zh-CN"/>
        </w:rPr>
        <w:t>管理办法严格按照相关制度执行，全面保障派驻纪检组的</w:t>
      </w:r>
      <w:r>
        <w:rPr>
          <w:rFonts w:hint="eastAsia" w:ascii="仿宋_GB2312" w:hAnsi="仿宋_GB2312" w:cs="仿宋_GB2312"/>
          <w:kern w:val="0"/>
          <w:szCs w:val="32"/>
          <w:shd w:val="clear" w:color="auto" w:fill="FFFFFF"/>
        </w:rPr>
        <w:t>日常办公经费</w:t>
      </w:r>
      <w:r>
        <w:rPr>
          <w:rFonts w:hint="eastAsia" w:ascii="仿宋_GB2312" w:hAnsi="仿宋_GB2312" w:cs="仿宋_GB2312"/>
          <w:kern w:val="0"/>
          <w:szCs w:val="32"/>
          <w:shd w:val="clear" w:color="auto" w:fill="FFFFFF"/>
          <w:lang w:val="zh-CN"/>
        </w:rPr>
        <w:t>，为监督工作的开展奠定了坚实基础。</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（三）</w:t>
      </w:r>
      <w:r>
        <w:rPr>
          <w:rFonts w:ascii="楷体_GB2312" w:hAnsi="宋体" w:eastAsia="楷体_GB2312"/>
          <w:b/>
          <w:szCs w:val="32"/>
        </w:rPr>
        <w:t>预算安排及分配管理</w:t>
      </w:r>
      <w:r>
        <w:rPr>
          <w:rFonts w:hint="eastAsia" w:ascii="楷体_GB2312" w:hAnsi="宋体" w:eastAsia="楷体_GB2312"/>
          <w:b/>
          <w:szCs w:val="32"/>
          <w:lang w:val="zh-CN"/>
        </w:rPr>
        <w:t>。</w:t>
      </w:r>
      <w:r>
        <w:rPr>
          <w:rFonts w:hint="eastAsia" w:ascii="仿宋_GB2312" w:hAnsi="仿宋_GB2312" w:cs="仿宋_GB2312"/>
          <w:kern w:val="0"/>
          <w:szCs w:val="32"/>
          <w:shd w:val="clear" w:color="auto" w:fill="FFFFFF"/>
          <w:lang w:val="zh-CN"/>
        </w:rPr>
        <w:t>项目预算均来源于年初预算，属财政全额拨款项目，项目按照相关制度规定执行。</w:t>
      </w:r>
    </w:p>
    <w:p>
      <w:pPr>
        <w:adjustRightInd w:val="0"/>
        <w:snapToGrid w:val="0"/>
        <w:spacing w:line="578" w:lineRule="exact"/>
        <w:ind w:firstLine="642" w:firstLineChars="200"/>
        <w:rPr>
          <w:rFonts w:ascii="仿宋_GB2312" w:hAnsi="仿宋_GB2312" w:cs="仿宋_GB2312"/>
          <w:kern w:val="0"/>
          <w:shd w:val="clear" w:color="auto" w:fill="FFFFFF"/>
          <w:lang w:val="zh-CN"/>
        </w:rPr>
      </w:pPr>
      <w:r>
        <w:rPr>
          <w:rFonts w:hint="eastAsia" w:ascii="楷体_GB2312" w:hAnsi="宋体" w:eastAsia="楷体_GB2312"/>
          <w:b/>
          <w:szCs w:val="32"/>
          <w:lang w:val="zh-CN"/>
        </w:rPr>
        <w:t>（四）项目绩效目标设置。</w:t>
      </w:r>
      <w:r>
        <w:rPr>
          <w:rFonts w:hint="eastAsia" w:ascii="仿宋_GB2312" w:hAnsi="仿宋_GB2312" w:cs="仿宋_GB2312"/>
          <w:kern w:val="0"/>
          <w:szCs w:val="32"/>
          <w:shd w:val="clear" w:color="auto" w:fill="FFFFFF"/>
          <w:lang w:val="zh-CN"/>
        </w:rPr>
        <w:t>根据项目实施情况，设置审查调查次数、纪检监督检查次数、抽查合格率、年度检查任务按时完成率、问题整改落实率、企业满意度、日常监督及办公经费等具体绩效目标。该项目的实施，保障了纪检组日常工作经费，完成了市纪委监委下达的各项目标任务。自评100分。</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pPr>
      <w:r>
        <w:rPr>
          <w:rFonts w:hint="eastAsia" w:ascii="楷体_GB2312" w:hAnsi="宋体" w:eastAsia="楷体_GB2312"/>
          <w:b/>
          <w:szCs w:val="32"/>
          <w:lang w:val="zh-CN"/>
        </w:rPr>
        <w:t>（一）评价目的。</w:t>
      </w:r>
      <w:r>
        <w:rPr>
          <w:szCs w:val="32"/>
        </w:rPr>
        <w:t>通过</w:t>
      </w:r>
      <w:r>
        <w:rPr>
          <w:rFonts w:hint="eastAsia"/>
          <w:szCs w:val="32"/>
        </w:rPr>
        <w:t>项目绩效自评，可以及时发现项目实施过程中存在的问题，加强项目的自主监督和管理，提高项目管理能力；可以直观了解项目的实际状态，为类似项目的管理和资金使用提供丰富经验和运行建议。</w:t>
      </w:r>
    </w:p>
    <w:p>
      <w:pPr>
        <w:adjustRightInd w:val="0"/>
        <w:snapToGrid w:val="0"/>
        <w:spacing w:line="578" w:lineRule="exact"/>
        <w:ind w:firstLine="642" w:firstLineChars="200"/>
      </w:pPr>
      <w:r>
        <w:rPr>
          <w:rFonts w:hint="eastAsia" w:ascii="楷体_GB2312" w:hAnsi="宋体" w:eastAsia="楷体_GB2312"/>
          <w:b/>
          <w:szCs w:val="32"/>
          <w:lang w:val="zh-CN"/>
        </w:rPr>
        <w:t>（二）预设问题及评价重点。</w:t>
      </w:r>
      <w:r>
        <w:rPr>
          <w:rFonts w:hint="eastAsia"/>
          <w:szCs w:val="32"/>
        </w:rPr>
        <w:t>按照绩效评价指标体系，我委对项目资金支出使用全过程进行监督，按时评估资金进度，对按时完成项目目标提供有力监督，有效控制了项目成本。</w:t>
      </w:r>
    </w:p>
    <w:p>
      <w:pPr>
        <w:adjustRightInd w:val="0"/>
        <w:snapToGrid w:val="0"/>
        <w:spacing w:line="578" w:lineRule="exact"/>
        <w:ind w:firstLine="642" w:firstLineChars="200"/>
        <w:rPr>
          <w:lang w:val="zh-CN"/>
        </w:rPr>
      </w:pPr>
      <w:r>
        <w:rPr>
          <w:rFonts w:hint="eastAsia" w:ascii="楷体_GB2312" w:hAnsi="宋体" w:eastAsia="楷体_GB2312"/>
          <w:b/>
          <w:szCs w:val="32"/>
          <w:lang w:val="zh-CN"/>
        </w:rPr>
        <w:t>（三）评价选点。</w:t>
      </w:r>
      <w:r>
        <w:rPr>
          <w:rFonts w:hint="eastAsia"/>
          <w:szCs w:val="32"/>
          <w:lang w:val="zh-CN"/>
        </w:rPr>
        <w:t>根据纪检组工作开展情况、</w:t>
      </w:r>
      <w:r>
        <w:rPr>
          <w:rFonts w:hint="eastAsia" w:ascii="仿宋_GB2312" w:hAnsi="仿宋_GB2312" w:cs="仿宋_GB2312"/>
          <w:kern w:val="0"/>
          <w:szCs w:val="32"/>
          <w:shd w:val="clear" w:color="auto" w:fill="FFFFFF"/>
          <w:lang w:val="zh-CN"/>
        </w:rPr>
        <w:t>审查调查次数、纪检监督检查次数、抽查合格率、年度检查任务按时完成率、问题整改落实率</w:t>
      </w:r>
      <w:r>
        <w:rPr>
          <w:rFonts w:hint="eastAsia"/>
          <w:szCs w:val="32"/>
          <w:lang w:val="zh-CN"/>
        </w:rPr>
        <w:t>等指标进行全方位评价。</w:t>
      </w:r>
    </w:p>
    <w:p>
      <w:pPr>
        <w:spacing w:line="578" w:lineRule="exact"/>
        <w:ind w:firstLine="640"/>
      </w:pPr>
      <w:r>
        <w:rPr>
          <w:rFonts w:hint="eastAsia" w:ascii="楷体_GB2312" w:hAnsi="宋体" w:eastAsia="楷体_GB2312"/>
          <w:b/>
          <w:szCs w:val="32"/>
          <w:lang w:val="zh-CN"/>
        </w:rPr>
        <w:t>（四）评价方法。</w:t>
      </w:r>
      <w:r>
        <w:rPr>
          <w:szCs w:val="32"/>
        </w:rPr>
        <w:t>根据</w:t>
      </w:r>
      <w:r>
        <w:rPr>
          <w:rFonts w:hint="eastAsia"/>
          <w:szCs w:val="32"/>
        </w:rPr>
        <w:t>纪检组</w:t>
      </w:r>
      <w:r>
        <w:rPr>
          <w:szCs w:val="32"/>
        </w:rPr>
        <w:t>项目</w:t>
      </w:r>
      <w:r>
        <w:rPr>
          <w:rFonts w:hint="eastAsia"/>
          <w:szCs w:val="32"/>
        </w:rPr>
        <w:t>实施</w:t>
      </w:r>
      <w:r>
        <w:rPr>
          <w:szCs w:val="32"/>
        </w:rPr>
        <w:t>情况和评价重点，采用</w:t>
      </w:r>
      <w:r>
        <w:rPr>
          <w:rFonts w:hint="eastAsia"/>
          <w:szCs w:val="32"/>
        </w:rPr>
        <w:t>成本效益分析法、标杆管理法、</w:t>
      </w:r>
      <w:r>
        <w:rPr>
          <w:szCs w:val="32"/>
        </w:rPr>
        <w:t>单位自评法等多种方法</w:t>
      </w:r>
      <w:r>
        <w:rPr>
          <w:rFonts w:hint="eastAsia"/>
          <w:szCs w:val="32"/>
        </w:rPr>
        <w:t>开展评价工作。</w:t>
      </w:r>
    </w:p>
    <w:p>
      <w:pPr>
        <w:spacing w:line="578" w:lineRule="exact"/>
        <w:ind w:firstLine="640"/>
        <w:rPr>
          <w:bCs/>
        </w:rPr>
      </w:pPr>
      <w:r>
        <w:rPr>
          <w:rFonts w:hint="eastAsia" w:ascii="楷体_GB2312" w:hAnsi="宋体" w:eastAsia="楷体_GB2312"/>
          <w:b/>
          <w:szCs w:val="32"/>
          <w:lang w:val="zh-CN"/>
        </w:rPr>
        <w:t>（五）评价组织。</w:t>
      </w:r>
      <w:r>
        <w:rPr>
          <w:rFonts w:hint="eastAsia"/>
          <w:szCs w:val="32"/>
        </w:rPr>
        <w:t>项目由纪检组实施，由纪检组组长、财务负责人及相关分管领导进行评价。</w:t>
      </w:r>
    </w:p>
    <w:p>
      <w:pPr>
        <w:adjustRightInd w:val="0"/>
        <w:snapToGrid w:val="0"/>
        <w:spacing w:line="578" w:lineRule="exact"/>
        <w:ind w:firstLine="640" w:firstLineChars="200"/>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宋体" w:eastAsia="楷体_GB2312"/>
          <w:b/>
        </w:rPr>
      </w:pPr>
      <w:r>
        <w:rPr>
          <w:rFonts w:hint="eastAsia" w:ascii="楷体_GB2312" w:hAnsi="宋体" w:eastAsia="楷体_GB2312"/>
          <w:b/>
          <w:szCs w:val="32"/>
          <w:lang w:val="zh-CN"/>
        </w:rPr>
        <w:t>（一）</w:t>
      </w:r>
      <w:r>
        <w:rPr>
          <w:rFonts w:hint="eastAsia" w:ascii="楷体_GB2312" w:hAnsi="宋体" w:eastAsia="楷体_GB2312"/>
          <w:b/>
          <w:szCs w:val="32"/>
        </w:rPr>
        <w:t>通用指标</w:t>
      </w:r>
      <w:r>
        <w:rPr>
          <w:rFonts w:eastAsia="楷体_GB2312"/>
          <w:b/>
          <w:bCs/>
          <w:color w:val="000000"/>
          <w:kern w:val="0"/>
          <w:szCs w:val="32"/>
          <w:shd w:val="clear" w:color="auto" w:fill="FFFFFF"/>
          <w:lang w:val="zh-CN"/>
        </w:rPr>
        <w:t>绩效分析。</w:t>
      </w:r>
    </w:p>
    <w:p>
      <w:pPr>
        <w:spacing w:line="578" w:lineRule="exact"/>
        <w:ind w:firstLine="640"/>
      </w:pPr>
      <w:r>
        <w:rPr>
          <w:rFonts w:hint="eastAsia" w:ascii="楷体_GB2312" w:hAnsi="楷体_GB2312" w:eastAsia="楷体_GB2312" w:cs="楷体_GB2312"/>
          <w:szCs w:val="32"/>
        </w:rPr>
        <w:t>1.项目决策。</w:t>
      </w:r>
      <w:r>
        <w:rPr>
          <w:rFonts w:hint="eastAsia" w:ascii="仿宋_GB2312" w:hAnsi="仿宋_GB2312" w:cs="仿宋_GB2312"/>
          <w:kern w:val="0"/>
          <w:szCs w:val="32"/>
          <w:shd w:val="clear" w:color="auto" w:fill="FFFFFF"/>
          <w:lang w:val="zh-CN"/>
        </w:rPr>
        <w:t>项目按照相关制度规定执行，全力</w:t>
      </w:r>
      <w:r>
        <w:rPr>
          <w:rFonts w:hint="eastAsia" w:ascii="仿宋_GB2312" w:hAnsi="仿宋_GB2312" w:cs="仿宋_GB2312"/>
          <w:kern w:val="0"/>
          <w:szCs w:val="32"/>
          <w:shd w:val="clear" w:color="auto" w:fill="FFFFFF"/>
        </w:rPr>
        <w:t>完成市纪委监委下达的各项目标任务</w:t>
      </w:r>
      <w:r>
        <w:rPr>
          <w:rFonts w:hint="eastAsia" w:ascii="仿宋_GB2312" w:hAnsi="仿宋_GB2312" w:cs="仿宋_GB2312"/>
          <w:kern w:val="0"/>
          <w:szCs w:val="32"/>
          <w:shd w:val="clear" w:color="auto" w:fill="FFFFFF"/>
          <w:lang w:val="zh-CN"/>
        </w:rPr>
        <w:t>，项目</w:t>
      </w:r>
      <w:r>
        <w:rPr>
          <w:rFonts w:hint="eastAsia"/>
          <w:szCs w:val="32"/>
        </w:rPr>
        <w:t>决策程序规范、规划论证严密、资金投向合规。自评18分。</w:t>
      </w:r>
    </w:p>
    <w:p>
      <w:pPr>
        <w:spacing w:line="578" w:lineRule="exact"/>
        <w:ind w:firstLine="640"/>
      </w:pPr>
      <w:r>
        <w:rPr>
          <w:rFonts w:hint="eastAsia" w:ascii="楷体_GB2312" w:hAnsi="楷体_GB2312" w:eastAsia="楷体_GB2312" w:cs="楷体_GB2312"/>
          <w:szCs w:val="32"/>
        </w:rPr>
        <w:t>2.项目管理。</w:t>
      </w:r>
      <w:r>
        <w:rPr>
          <w:rFonts w:hint="eastAsia"/>
          <w:szCs w:val="32"/>
          <w:lang w:val="zh-CN"/>
        </w:rPr>
        <w:t>资金管理办法等管理制度体系健全完善，不存在管理制度缺失现象，资金分配管理经过前期充分调研，管理规范合理，实施全过程进行监控</w:t>
      </w:r>
      <w:r>
        <w:rPr>
          <w:rFonts w:hint="eastAsia"/>
          <w:szCs w:val="32"/>
        </w:rPr>
        <w:t>。自评18分。</w:t>
      </w:r>
    </w:p>
    <w:p>
      <w:pPr>
        <w:spacing w:line="578" w:lineRule="exact"/>
        <w:ind w:firstLine="640"/>
        <w:rPr>
          <w:lang w:val="zh-CN"/>
        </w:rPr>
      </w:pPr>
      <w:r>
        <w:rPr>
          <w:rFonts w:hint="eastAsia" w:ascii="楷体_GB2312" w:hAnsi="楷体_GB2312" w:eastAsia="楷体_GB2312" w:cs="楷体_GB2312"/>
          <w:szCs w:val="32"/>
        </w:rPr>
        <w:t>3.项目实施。</w:t>
      </w:r>
      <w:r>
        <w:rPr>
          <w:rFonts w:hint="eastAsia"/>
          <w:szCs w:val="32"/>
          <w:lang w:val="zh-CN"/>
        </w:rPr>
        <w:t>派驻纪检组经费来源于财政拨款，纳入</w:t>
      </w:r>
      <w:r>
        <w:rPr>
          <w:rFonts w:hint="eastAsia"/>
          <w:szCs w:val="32"/>
        </w:rPr>
        <w:t>2023年预算中，资金到位及时率100%，资金使用符合国家财经法规、财务管理制度及有关专项资金管理制度办法规定和审批程序</w:t>
      </w:r>
      <w:r>
        <w:rPr>
          <w:rFonts w:hint="eastAsia"/>
          <w:szCs w:val="32"/>
          <w:lang w:val="zh-CN"/>
        </w:rPr>
        <w:t>。</w:t>
      </w:r>
      <w:r>
        <w:rPr>
          <w:rFonts w:hint="eastAsia"/>
          <w:szCs w:val="32"/>
        </w:rPr>
        <w:t>自评9分。</w:t>
      </w:r>
    </w:p>
    <w:p>
      <w:pPr>
        <w:spacing w:line="578" w:lineRule="exact"/>
        <w:ind w:firstLine="640"/>
        <w:rPr>
          <w:lang w:val="zh-CN"/>
        </w:rPr>
      </w:pPr>
      <w:r>
        <w:rPr>
          <w:rFonts w:hint="eastAsia" w:ascii="楷体_GB2312" w:hAnsi="楷体_GB2312" w:eastAsia="楷体_GB2312" w:cs="楷体_GB2312"/>
          <w:szCs w:val="32"/>
        </w:rPr>
        <w:t>4.项目结果。</w:t>
      </w:r>
      <w:r>
        <w:rPr>
          <w:rFonts w:hint="eastAsia"/>
          <w:szCs w:val="32"/>
        </w:rPr>
        <w:t>项目完成预期目标，实施结果与绩效目标相匹配。自评9分。</w:t>
      </w:r>
    </w:p>
    <w:p>
      <w:pPr>
        <w:spacing w:line="578" w:lineRule="exact"/>
        <w:ind w:firstLine="642" w:firstLineChars="200"/>
        <w:rPr>
          <w:rFonts w:ascii="楷体_GB2312" w:hAnsi="楷体_GB2312" w:eastAsia="楷体_GB2312" w:cs="楷体_GB2312"/>
          <w:lang w:val="zh-CN"/>
        </w:rPr>
      </w:pPr>
      <w:r>
        <w:rPr>
          <w:rFonts w:hint="eastAsia" w:ascii="楷体_GB2312" w:hAnsi="宋体" w:eastAsia="楷体_GB2312"/>
          <w:b/>
          <w:szCs w:val="32"/>
          <w:lang w:val="zh-CN"/>
        </w:rPr>
        <w:t>（二）</w:t>
      </w:r>
      <w:r>
        <w:rPr>
          <w:rFonts w:hint="eastAsia" w:ascii="楷体_GB2312" w:hAnsi="宋体" w:eastAsia="楷体_GB2312"/>
          <w:b/>
          <w:szCs w:val="32"/>
        </w:rPr>
        <w:t>专用指标</w:t>
      </w:r>
      <w:r>
        <w:rPr>
          <w:rFonts w:eastAsia="楷体_GB2312"/>
          <w:b/>
          <w:bCs/>
          <w:color w:val="000000"/>
          <w:kern w:val="0"/>
          <w:szCs w:val="32"/>
          <w:shd w:val="clear" w:color="auto" w:fill="FFFFFF"/>
          <w:lang w:val="zh-CN"/>
        </w:rPr>
        <w:t>绩效分析。</w:t>
      </w:r>
    </w:p>
    <w:p>
      <w:pPr>
        <w:spacing w:line="578" w:lineRule="exact"/>
        <w:ind w:firstLine="640" w:firstLineChars="200"/>
      </w:pPr>
      <w:r>
        <w:rPr>
          <w:rFonts w:hint="eastAsia" w:ascii="楷体_GB2312" w:hAnsi="楷体_GB2312" w:eastAsia="楷体_GB2312" w:cs="楷体_GB2312"/>
          <w:szCs w:val="32"/>
          <w:lang w:val="zh-CN"/>
        </w:rPr>
        <w:t>行政运转。</w:t>
      </w:r>
      <w:r>
        <w:rPr>
          <w:rFonts w:hint="eastAsia"/>
          <w:szCs w:val="32"/>
          <w:lang w:val="zh-CN"/>
        </w:rPr>
        <w:t>用途合规性方面，纪检组严格按规定用途、适用范围进行专项资金分配；程序合规性方面，资金管理程序符合专项资金管理要求；标准合规性方面，资金分配标准符合专项资金管理要求。自评</w:t>
      </w:r>
      <w:r>
        <w:rPr>
          <w:rFonts w:hint="eastAsia"/>
          <w:szCs w:val="32"/>
        </w:rPr>
        <w:t>30分。</w:t>
      </w:r>
    </w:p>
    <w:p>
      <w:pPr>
        <w:spacing w:line="578" w:lineRule="exact"/>
        <w:ind w:firstLine="640"/>
        <w:rPr>
          <w:szCs w:val="32"/>
        </w:rPr>
      </w:pPr>
      <w:r>
        <w:rPr>
          <w:rFonts w:hint="eastAsia" w:ascii="楷体_GB2312" w:hAnsi="宋体" w:eastAsia="楷体_GB2312"/>
          <w:b/>
          <w:szCs w:val="32"/>
          <w:lang w:val="zh-CN"/>
        </w:rPr>
        <w:t>（三）</w:t>
      </w:r>
      <w:r>
        <w:rPr>
          <w:rFonts w:hint="eastAsia" w:ascii="楷体_GB2312" w:hAnsi="宋体" w:eastAsia="楷体_GB2312"/>
          <w:b/>
          <w:szCs w:val="32"/>
        </w:rPr>
        <w:t>个性指标</w:t>
      </w:r>
      <w:r>
        <w:rPr>
          <w:rFonts w:eastAsia="楷体_GB2312"/>
          <w:b/>
          <w:bCs/>
          <w:color w:val="000000"/>
          <w:kern w:val="0"/>
          <w:szCs w:val="32"/>
          <w:shd w:val="clear" w:color="auto" w:fill="FFFFFF"/>
          <w:lang w:val="zh-CN"/>
        </w:rPr>
        <w:t>绩效分析。</w:t>
      </w:r>
      <w:r>
        <w:rPr>
          <w:rFonts w:hint="eastAsia"/>
          <w:szCs w:val="32"/>
          <w:lang w:val="zh-CN"/>
        </w:rPr>
        <w:t>根据项目个性自行设定绩效目标分析情况如下：纪检组</w:t>
      </w:r>
      <w:r>
        <w:rPr>
          <w:rFonts w:hint="eastAsia"/>
          <w:szCs w:val="32"/>
        </w:rPr>
        <w:t>2023年度</w:t>
      </w:r>
      <w:r>
        <w:rPr>
          <w:rFonts w:hint="eastAsia"/>
          <w:szCs w:val="32"/>
          <w:lang w:val="zh-CN"/>
        </w:rPr>
        <w:t>审查调查次数</w:t>
      </w:r>
      <w:r>
        <w:rPr>
          <w:rFonts w:hint="eastAsia"/>
          <w:szCs w:val="32"/>
        </w:rPr>
        <w:t>6次，≥3次，得6分；年度检查任务按时完成率100%，得6分，纪检组监督服务企业满意度100%，得4分</w:t>
      </w:r>
      <w:r>
        <w:rPr>
          <w:rFonts w:hint="eastAsia"/>
          <w:szCs w:val="32"/>
          <w:lang w:val="zh-CN"/>
        </w:rPr>
        <w:t>。该项自评</w:t>
      </w:r>
      <w:r>
        <w:rPr>
          <w:rFonts w:hint="eastAsia"/>
          <w:szCs w:val="32"/>
        </w:rPr>
        <w:t>16分。</w:t>
      </w:r>
    </w:p>
    <w:p>
      <w:pPr>
        <w:spacing w:line="578" w:lineRule="exact"/>
        <w:ind w:firstLine="640"/>
      </w:pPr>
      <w:r>
        <w:rPr>
          <w:rFonts w:hint="eastAsia" w:ascii="黑体" w:hAnsi="宋体" w:eastAsia="黑体"/>
          <w:szCs w:val="32"/>
        </w:rPr>
        <w:t>四、评价结论</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纪检组完成了2023年案件审查调查、日常监督及办公，完成了市纪委监委下达的各项目标任务</w:t>
      </w:r>
      <w:r>
        <w:rPr>
          <w:rFonts w:hint="eastAsia" w:hAnsi="仿宋_GB2312" w:cs="仿宋_GB2312"/>
          <w:sz w:val="32"/>
          <w:szCs w:val="32"/>
          <w:lang w:val="zh-CN"/>
        </w:rPr>
        <w:t>。自评总分</w:t>
      </w:r>
      <w:r>
        <w:rPr>
          <w:rFonts w:hint="eastAsia" w:hAnsi="仿宋_GB2312" w:cs="仿宋_GB2312"/>
          <w:sz w:val="32"/>
          <w:szCs w:val="32"/>
        </w:rPr>
        <w:t>100分。</w:t>
      </w:r>
    </w:p>
    <w:p>
      <w:pPr>
        <w:pStyle w:val="2"/>
        <w:spacing w:before="93" w:line="600" w:lineRule="exact"/>
        <w:ind w:firstLine="640" w:firstLineChars="200"/>
        <w:rPr>
          <w:rFonts w:ascii="黑体" w:hAnsi="黑体" w:cs="黑体"/>
          <w:kern w:val="2"/>
          <w:sz w:val="32"/>
          <w:szCs w:val="32"/>
        </w:rPr>
      </w:pPr>
      <w:r>
        <w:rPr>
          <w:rFonts w:hint="eastAsia" w:ascii="黑体" w:hAnsi="黑体" w:eastAsia="黑体"/>
          <w:sz w:val="32"/>
          <w:szCs w:val="32"/>
        </w:rPr>
        <w:t>五、存在主要问题</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无。</w:t>
      </w:r>
    </w:p>
    <w:p>
      <w:pPr>
        <w:pStyle w:val="2"/>
        <w:spacing w:before="93" w:line="600" w:lineRule="exact"/>
        <w:ind w:firstLine="640" w:firstLineChars="200"/>
        <w:rPr>
          <w:rFonts w:ascii="黑体" w:hAnsi="黑体" w:cs="黑体"/>
          <w:kern w:val="2"/>
          <w:sz w:val="32"/>
          <w:szCs w:val="32"/>
        </w:rPr>
      </w:pPr>
      <w:r>
        <w:rPr>
          <w:rFonts w:hint="eastAsia" w:ascii="黑体" w:hAnsi="宋体" w:eastAsia="黑体"/>
          <w:position w:val="3"/>
          <w:sz w:val="32"/>
          <w:szCs w:val="32"/>
          <w:lang w:val="zh-CN"/>
        </w:rPr>
        <w:t>六、改进建议</w:t>
      </w:r>
    </w:p>
    <w:p>
      <w:pPr>
        <w:tabs>
          <w:tab w:val="left" w:pos="1911"/>
        </w:tabs>
        <w:ind w:firstLine="645"/>
        <w:jc w:val="left"/>
        <w:rPr>
          <w:rFonts w:ascii="仿宋_GB2312" w:hAnsi="仿宋_GB2312" w:cs="仿宋_GB2312"/>
          <w:kern w:val="0"/>
          <w:szCs w:val="32"/>
        </w:rPr>
      </w:pPr>
      <w:r>
        <w:rPr>
          <w:rFonts w:hint="eastAsia" w:ascii="仿宋_GB2312" w:hAnsi="仿宋_GB2312" w:cs="仿宋_GB2312"/>
          <w:kern w:val="0"/>
          <w:szCs w:val="32"/>
        </w:rPr>
        <w:t>无。</w:t>
      </w:r>
    </w:p>
    <w:p>
      <w:pPr>
        <w:pStyle w:val="38"/>
        <w:spacing w:line="576" w:lineRule="exact"/>
        <w:ind w:left="640"/>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森林院子片区棚户区限价商品房项目购房补差专项预算项目绩效评价报告</w:t>
      </w:r>
    </w:p>
    <w:p>
      <w:pPr>
        <w:pStyle w:val="38"/>
        <w:spacing w:line="576" w:lineRule="exact"/>
        <w:ind w:left="640" w:firstLine="640"/>
        <w:jc w:val="center"/>
        <w:rPr>
          <w:rFonts w:ascii="宋体" w:hAnsi="宋体"/>
          <w:color w:val="auto"/>
          <w:kern w:val="2"/>
          <w:sz w:val="32"/>
          <w:szCs w:val="32"/>
        </w:rPr>
      </w:pPr>
    </w:p>
    <w:p>
      <w:pPr>
        <w:adjustRightInd w:val="0"/>
        <w:snapToGrid w:val="0"/>
        <w:spacing w:line="576"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widowControl/>
        <w:adjustRightInd w:val="0"/>
        <w:snapToGrid w:val="0"/>
        <w:spacing w:line="576" w:lineRule="exact"/>
        <w:ind w:firstLine="642" w:firstLineChars="200"/>
        <w:contextualSpacing/>
        <w:jc w:val="left"/>
        <w:rPr>
          <w:rFonts w:ascii="仿宋_GB2312" w:hAnsi="仿宋_GB2312" w:cs="仿宋_GB2312"/>
          <w:kern w:val="0"/>
          <w:highlight w:val="yellow"/>
          <w:shd w:val="clear" w:color="auto" w:fill="FFFFFF"/>
          <w:lang w:val="zh-CN"/>
        </w:rPr>
      </w:pPr>
      <w:r>
        <w:rPr>
          <w:rFonts w:hint="eastAsia" w:ascii="楷体_GB2312" w:hAnsi="宋体" w:eastAsia="楷体_GB2312"/>
          <w:b/>
          <w:szCs w:val="32"/>
          <w:lang w:val="zh-CN"/>
        </w:rPr>
        <w:t>（一）设立背景及基本情况。</w:t>
      </w:r>
    </w:p>
    <w:p>
      <w:pPr>
        <w:pStyle w:val="44"/>
        <w:spacing w:line="576" w:lineRule="exact"/>
        <w:rPr>
          <w:rFonts w:hAnsi="仿宋_GB2312" w:cs="仿宋_GB2312"/>
          <w:b w:val="0"/>
          <w:color w:val="auto"/>
          <w:kern w:val="0"/>
          <w:sz w:val="32"/>
          <w:szCs w:val="32"/>
          <w:shd w:val="clear" w:color="auto" w:fill="FFFFFF"/>
        </w:rPr>
      </w:pPr>
      <w:r>
        <w:rPr>
          <w:rFonts w:hint="eastAsia" w:hAnsi="仿宋_GB2312" w:cs="仿宋_GB2312"/>
          <w:b w:val="0"/>
          <w:bCs/>
          <w:color w:val="000000" w:themeColor="text1"/>
          <w:sz w:val="32"/>
          <w:szCs w:val="32"/>
          <w14:textFill>
            <w14:solidFill>
              <w14:schemeClr w14:val="tx1"/>
            </w14:solidFill>
          </w14:textFill>
        </w:rPr>
        <w:t>市国资委作为森林院子片区棚户区限价商品房项目购房补差</w:t>
      </w:r>
      <w:r>
        <w:rPr>
          <w:rFonts w:hint="eastAsia" w:hAnsi="仿宋_GB2312" w:cs="仿宋_GB2312"/>
          <w:b w:val="0"/>
          <w:color w:val="auto"/>
          <w:kern w:val="0"/>
          <w:sz w:val="32"/>
          <w:szCs w:val="32"/>
          <w:shd w:val="clear" w:color="auto" w:fill="FFFFFF"/>
        </w:rPr>
        <w:t>主管部门，在项目建设过程中，积极督导项目建设单位广元市文化旅游康养发展集团有限公司进行各项工作，积极协调建设工作中资金及补差相关事宜。</w:t>
      </w:r>
    </w:p>
    <w:p>
      <w:pPr>
        <w:spacing w:line="576" w:lineRule="exact"/>
        <w:ind w:firstLine="640" w:firstLineChars="200"/>
        <w:textAlignment w:val="baseline"/>
        <w:rPr>
          <w:rFonts w:hAnsi="仿宋_GB2312" w:cs="仿宋_GB2312"/>
          <w:kern w:val="0"/>
          <w:shd w:val="clear" w:color="auto" w:fill="FFFFFF"/>
          <w:lang w:val="zh-CN"/>
        </w:rPr>
      </w:pPr>
      <w:r>
        <w:rPr>
          <w:rFonts w:hint="eastAsia" w:ascii="仿宋_GB2312" w:hAnsi="仿宋_GB2312" w:cs="仿宋_GB2312"/>
          <w:szCs w:val="32"/>
        </w:rPr>
        <w:t>为全面推动黑石坡森林康养旅游度假区项目建设，加快度假区重点项目拆迁安置工作，经八届市人民政府第12次常务会议定“同意按照1000元/</w:t>
      </w:r>
      <w:r>
        <w:rPr>
          <w:rFonts w:hint="eastAsia" w:ascii="Segoe UI Emoji" w:hAnsi="Segoe UI Emoji" w:eastAsia="Segoe UI Emoji" w:cs="仿宋_GB2312"/>
          <w:szCs w:val="32"/>
        </w:rPr>
        <w:t>㎡</w:t>
      </w:r>
      <w:r>
        <w:rPr>
          <w:rFonts w:hint="eastAsia" w:ascii="仿宋_GB2312" w:hAnsi="仿宋_GB2312" w:cs="仿宋_GB2312"/>
          <w:szCs w:val="32"/>
        </w:rPr>
        <w:t>的标准，解决黑石坡森林康养旅游度假区拆迁安置人员所选购森林院子限价商品房的购房补差补助资金3465万元”。截止2023年，森林院子限价商品房累计共安置405套住房，建筑面积36671.33</w:t>
      </w:r>
      <w:r>
        <w:rPr>
          <w:rFonts w:hint="eastAsia" w:ascii="Segoe UI Emoji" w:hAnsi="Segoe UI Emoji" w:eastAsia="Segoe UI Emoji" w:cs="仿宋_GB2312"/>
          <w:szCs w:val="32"/>
        </w:rPr>
        <w:t>㎡</w:t>
      </w:r>
      <w:r>
        <w:rPr>
          <w:rFonts w:hint="eastAsia" w:ascii="仿宋_GB2312" w:hAnsi="仿宋_GB2312" w:cs="仿宋_GB2312"/>
          <w:szCs w:val="32"/>
        </w:rPr>
        <w:t>，政策范围内应补差补助面积34662.68</w:t>
      </w:r>
      <w:r>
        <w:rPr>
          <w:rFonts w:hint="eastAsia" w:ascii="Segoe UI Emoji" w:hAnsi="Segoe UI Emoji" w:eastAsia="Segoe UI Emoji" w:cs="仿宋_GB2312"/>
          <w:szCs w:val="32"/>
        </w:rPr>
        <w:t>㎡</w:t>
      </w:r>
      <w:r>
        <w:rPr>
          <w:rFonts w:hint="eastAsia" w:ascii="仿宋_GB2312" w:hAnsi="仿宋_GB2312" w:cs="仿宋_GB2312"/>
          <w:szCs w:val="32"/>
        </w:rPr>
        <w:t>。其中2023年森林院子限价商品房已安置52套住房，建筑面积4785.53</w:t>
      </w:r>
      <w:r>
        <w:rPr>
          <w:rFonts w:hint="eastAsia" w:ascii="Segoe UI Emoji" w:hAnsi="Segoe UI Emoji" w:eastAsia="Segoe UI Emoji" w:cs="仿宋_GB2312"/>
          <w:szCs w:val="32"/>
        </w:rPr>
        <w:t>㎡</w:t>
      </w:r>
      <w:r>
        <w:rPr>
          <w:rFonts w:hint="eastAsia" w:ascii="仿宋_GB2312" w:hAnsi="仿宋_GB2312" w:cs="仿宋_GB2312"/>
          <w:szCs w:val="32"/>
        </w:rPr>
        <w:t>，政策范围内应补差补助面积4524.68</w:t>
      </w:r>
      <w:r>
        <w:rPr>
          <w:rFonts w:hint="eastAsia" w:ascii="Segoe UI Emoji" w:hAnsi="Segoe UI Emoji" w:eastAsia="Segoe UI Emoji" w:cs="仿宋_GB2312"/>
          <w:szCs w:val="32"/>
        </w:rPr>
        <w:t>㎡</w:t>
      </w:r>
      <w:r>
        <w:rPr>
          <w:rFonts w:hint="eastAsia" w:ascii="仿宋_GB2312" w:hAnsi="仿宋_GB2312" w:cs="仿宋_GB2312"/>
          <w:szCs w:val="32"/>
        </w:rPr>
        <w:t>，合计应拨付购房补差补助资金452.468万元。</w:t>
      </w:r>
    </w:p>
    <w:p>
      <w:pPr>
        <w:adjustRightInd w:val="0"/>
        <w:snapToGrid w:val="0"/>
        <w:spacing w:line="576" w:lineRule="exact"/>
        <w:ind w:firstLine="642" w:firstLineChars="200"/>
        <w:rPr>
          <w:rFonts w:ascii="仿宋_GB2312" w:hAnsi="仿宋_GB2312" w:cs="仿宋_GB2312"/>
          <w:kern w:val="0"/>
          <w:shd w:val="clear" w:color="auto" w:fill="FFFFFF"/>
          <w:lang w:val="zh-CN"/>
        </w:rPr>
      </w:pPr>
      <w:r>
        <w:rPr>
          <w:rFonts w:hint="eastAsia" w:ascii="楷体_GB2312" w:hAnsi="宋体" w:eastAsia="楷体_GB2312"/>
          <w:b/>
          <w:szCs w:val="32"/>
        </w:rPr>
        <w:t>（二）</w:t>
      </w:r>
      <w:r>
        <w:rPr>
          <w:rFonts w:ascii="楷体_GB2312" w:hAnsi="宋体" w:eastAsia="楷体_GB2312"/>
          <w:b/>
          <w:szCs w:val="32"/>
        </w:rPr>
        <w:t>实施目的及支持方向</w:t>
      </w:r>
      <w:r>
        <w:rPr>
          <w:rFonts w:hint="eastAsia" w:ascii="楷体_GB2312" w:hAnsi="宋体" w:eastAsia="楷体_GB2312"/>
          <w:b/>
          <w:szCs w:val="32"/>
        </w:rPr>
        <w:t>。</w:t>
      </w:r>
    </w:p>
    <w:p>
      <w:pPr>
        <w:pStyle w:val="17"/>
        <w:spacing w:line="576" w:lineRule="exact"/>
        <w:ind w:left="0" w:leftChars="0" w:firstLine="640"/>
        <w:rPr>
          <w:lang w:val="zh-CN"/>
        </w:rPr>
      </w:pPr>
      <w:r>
        <w:rPr>
          <w:rFonts w:hint="eastAsia"/>
          <w:lang w:val="zh-CN"/>
        </w:rPr>
        <w:t>项目资金的分配始终坚持一个原则：全力保证工程项目顺利推进，确保资金公平合理地分配到项目建设的各个环节，提升项目质量和资金使用效益，实现资金落到实处，强化执行过程监督。</w:t>
      </w:r>
    </w:p>
    <w:p>
      <w:pPr>
        <w:widowControl/>
        <w:adjustRightInd w:val="0"/>
        <w:snapToGrid w:val="0"/>
        <w:spacing w:line="576"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rPr>
        <w:t>（三）</w:t>
      </w:r>
      <w:r>
        <w:rPr>
          <w:rFonts w:ascii="楷体_GB2312" w:hAnsi="宋体" w:eastAsia="楷体_GB2312"/>
          <w:b/>
          <w:szCs w:val="32"/>
        </w:rPr>
        <w:t>预算安排及分配管理</w:t>
      </w:r>
      <w:r>
        <w:rPr>
          <w:rFonts w:hint="eastAsia" w:ascii="楷体_GB2312" w:hAnsi="宋体" w:eastAsia="楷体_GB2312"/>
          <w:b/>
          <w:szCs w:val="32"/>
          <w:lang w:val="zh-CN"/>
        </w:rPr>
        <w:t>。</w:t>
      </w:r>
    </w:p>
    <w:p>
      <w:pPr>
        <w:widowControl/>
        <w:adjustRightInd w:val="0"/>
        <w:snapToGrid w:val="0"/>
        <w:spacing w:line="578" w:lineRule="exact"/>
        <w:ind w:firstLine="640" w:firstLineChars="200"/>
        <w:contextualSpacing/>
        <w:jc w:val="left"/>
      </w:pPr>
      <w:r>
        <w:rPr>
          <w:rFonts w:hint="eastAsia" w:ascii="仿宋" w:hAnsi="仿宋" w:eastAsia="仿宋" w:cs="仿宋"/>
          <w:szCs w:val="32"/>
        </w:rPr>
        <w:t>森林院子片区棚户区限价商品房项目购房补差严格按照《中华人民共和国建筑法》、制定和完善了《广元市文化旅游集团有限公司工程款拨付制度》，制度中明确了资金拨付等一系列管理职责。</w:t>
      </w:r>
      <w:r>
        <w:rPr>
          <w:rFonts w:hint="eastAsia" w:ascii="仿宋_GB2312" w:hAnsi="仿宋_GB2312" w:cs="仿宋_GB2312"/>
          <w:kern w:val="0"/>
          <w:shd w:val="clear" w:color="auto" w:fill="FFFFFF"/>
          <w:lang w:val="zh-CN"/>
        </w:rPr>
        <w:t>根据该项目绩效目标及实施情况预算安排</w:t>
      </w:r>
      <w:r>
        <w:rPr>
          <w:rFonts w:hint="eastAsia" w:ascii="仿宋_GB2312" w:hAnsi="仿宋_GB2312" w:cs="仿宋_GB2312"/>
          <w:kern w:val="0"/>
          <w:shd w:val="clear" w:color="auto" w:fill="FFFFFF"/>
        </w:rPr>
        <w:t>市</w:t>
      </w:r>
      <w:r>
        <w:rPr>
          <w:rFonts w:hint="eastAsia" w:ascii="仿宋_GB2312" w:hAnsi="仿宋_GB2312" w:cs="仿宋_GB2312"/>
          <w:kern w:val="0"/>
          <w:shd w:val="clear" w:color="auto" w:fill="FFFFFF"/>
          <w:lang w:val="zh-CN"/>
        </w:rPr>
        <w:t>级资金</w:t>
      </w:r>
      <w:r>
        <w:rPr>
          <w:rFonts w:hint="eastAsia" w:ascii="仿宋_GB2312" w:hAnsi="仿宋_GB2312" w:cs="仿宋_GB2312"/>
          <w:kern w:val="0"/>
          <w:shd w:val="clear" w:color="auto" w:fill="FFFFFF"/>
        </w:rPr>
        <w:t>452.468万元，主要用于</w:t>
      </w:r>
      <w:r>
        <w:rPr>
          <w:rFonts w:hint="eastAsia" w:ascii="仿宋_GB2312" w:hAnsi="仿宋_GB2312" w:cs="仿宋_GB2312"/>
          <w:kern w:val="0"/>
          <w:shd w:val="clear" w:color="auto" w:fill="FFFFFF"/>
          <w:lang w:val="zh-CN"/>
        </w:rPr>
        <w:t>项目</w:t>
      </w:r>
      <w:r>
        <w:rPr>
          <w:rFonts w:hint="eastAsia" w:ascii="仿宋_GB2312" w:hAnsi="仿宋_GB2312" w:cs="仿宋_GB2312"/>
          <w:kern w:val="0"/>
          <w:shd w:val="clear" w:color="auto" w:fill="FFFFFF"/>
        </w:rPr>
        <w:t>建设相关费用。</w:t>
      </w:r>
    </w:p>
    <w:p>
      <w:pPr>
        <w:adjustRightInd w:val="0"/>
        <w:snapToGrid w:val="0"/>
        <w:spacing w:line="576" w:lineRule="exact"/>
        <w:ind w:firstLine="642" w:firstLineChars="200"/>
        <w:rPr>
          <w:rFonts w:ascii="仿宋_GB2312" w:hAnsi="仿宋_GB2312" w:cs="仿宋_GB2312"/>
          <w:kern w:val="0"/>
          <w:shd w:val="clear" w:color="auto" w:fill="FFFFFF"/>
          <w:lang w:val="zh-CN"/>
        </w:rPr>
      </w:pPr>
      <w:r>
        <w:rPr>
          <w:rFonts w:hint="eastAsia" w:ascii="楷体_GB2312" w:hAnsi="宋体" w:eastAsia="楷体_GB2312"/>
          <w:b/>
          <w:szCs w:val="32"/>
          <w:lang w:val="zh-CN"/>
        </w:rPr>
        <w:t>（</w:t>
      </w:r>
      <w:r>
        <w:rPr>
          <w:rFonts w:hint="eastAsia" w:ascii="楷体_GB2312" w:hAnsi="宋体" w:eastAsia="楷体_GB2312"/>
          <w:b/>
          <w:szCs w:val="32"/>
        </w:rPr>
        <w:t>四</w:t>
      </w:r>
      <w:r>
        <w:rPr>
          <w:rFonts w:hint="eastAsia" w:ascii="楷体_GB2312" w:hAnsi="宋体" w:eastAsia="楷体_GB2312"/>
          <w:b/>
          <w:szCs w:val="32"/>
          <w:lang w:val="zh-CN"/>
        </w:rPr>
        <w:t>）项目绩效目标设置。</w:t>
      </w:r>
    </w:p>
    <w:p>
      <w:pPr>
        <w:adjustRightInd w:val="0"/>
        <w:snapToGrid w:val="0"/>
        <w:spacing w:line="576" w:lineRule="exact"/>
        <w:ind w:firstLine="640" w:firstLineChars="200"/>
        <w:rPr>
          <w:rFonts w:ascii="仿宋_GB2312" w:hAnsi="仿宋_GB2312" w:cs="仿宋_GB2312"/>
        </w:rPr>
      </w:pPr>
      <w:r>
        <w:rPr>
          <w:rFonts w:hint="eastAsia" w:ascii="楷体_GB2312" w:hAnsi="宋体" w:eastAsia="楷体_GB2312"/>
          <w:bCs/>
        </w:rPr>
        <w:t>1.</w:t>
      </w:r>
      <w:r>
        <w:rPr>
          <w:rFonts w:hint="eastAsia" w:ascii="楷体_GB2312" w:hAnsi="宋体" w:eastAsia="楷体_GB2312"/>
          <w:bCs/>
          <w:lang w:val="zh-CN"/>
        </w:rPr>
        <w:t>绩效目标设置情况。</w:t>
      </w:r>
      <w:r>
        <w:rPr>
          <w:rFonts w:hint="eastAsia" w:ascii="仿宋_GB2312" w:hAnsi="仿宋_GB2312" w:cs="仿宋_GB2312"/>
          <w:szCs w:val="32"/>
        </w:rPr>
        <w:t>项目绩效目标设置量化可考核，与部门的长期规划目标、年度工作目标相一致，绩效指标可细化、量化，绩效目标和绩效指标契合政策和项目实质，产出和效果相关联，对满意度指标进行了量化预测，绩效目标具有一定前瞻性和挑战性，绩效目标和绩效指标匹配，绩效指标设计全面完整。</w:t>
      </w:r>
    </w:p>
    <w:p>
      <w:pPr>
        <w:adjustRightInd w:val="0"/>
        <w:snapToGrid w:val="0"/>
        <w:spacing w:line="576" w:lineRule="exact"/>
        <w:ind w:firstLine="640" w:firstLineChars="200"/>
        <w:rPr>
          <w:lang w:val="zh-CN"/>
        </w:rPr>
      </w:pPr>
      <w:r>
        <w:rPr>
          <w:rFonts w:hint="eastAsia" w:ascii="楷体_GB2312" w:hAnsi="宋体" w:eastAsia="楷体_GB2312"/>
          <w:bCs/>
        </w:rPr>
        <w:t>2.</w:t>
      </w:r>
      <w:r>
        <w:rPr>
          <w:rFonts w:hint="eastAsia" w:ascii="楷体_GB2312" w:hAnsi="宋体" w:eastAsia="楷体_GB2312"/>
          <w:bCs/>
          <w:lang w:val="zh-CN"/>
        </w:rPr>
        <w:t>项目自评工作开展情况。</w:t>
      </w:r>
      <w:r>
        <w:rPr>
          <w:rFonts w:hint="eastAsia" w:ascii="仿宋_GB2312" w:hAnsi="仿宋_GB2312" w:cs="仿宋_GB2312"/>
          <w:szCs w:val="32"/>
        </w:rPr>
        <w:t>单位</w:t>
      </w:r>
      <w:r>
        <w:rPr>
          <w:rFonts w:ascii="仿宋_GB2312" w:hAnsi="仿宋_GB2312" w:cs="仿宋_GB2312"/>
          <w:szCs w:val="32"/>
          <w:lang w:val="en"/>
        </w:rPr>
        <w:t>根据项目合同书或验收要求，建立自评指标和标准</w:t>
      </w:r>
      <w:r>
        <w:rPr>
          <w:rFonts w:hint="eastAsia" w:ascii="仿宋_GB2312" w:hAnsi="仿宋_GB2312" w:cs="仿宋_GB2312"/>
          <w:szCs w:val="32"/>
          <w:lang w:val="en"/>
        </w:rPr>
        <w:t>；然后</w:t>
      </w:r>
      <w:r>
        <w:rPr>
          <w:rFonts w:ascii="仿宋_GB2312" w:hAnsi="仿宋_GB2312" w:cs="仿宋_GB2312"/>
          <w:szCs w:val="32"/>
          <w:lang w:val="en"/>
        </w:rPr>
        <w:t>对照指标和标准，组织相关人员对项目实施的过程</w:t>
      </w:r>
      <w:r>
        <w:rPr>
          <w:rFonts w:hint="eastAsia" w:ascii="仿宋_GB2312" w:hAnsi="仿宋_GB2312" w:cs="仿宋_GB2312"/>
          <w:szCs w:val="32"/>
          <w:lang w:val="en"/>
        </w:rPr>
        <w:t>及提交的成果</w:t>
      </w:r>
      <w:r>
        <w:rPr>
          <w:rFonts w:ascii="仿宋_GB2312" w:hAnsi="仿宋_GB2312" w:cs="仿宋_GB2312"/>
          <w:szCs w:val="32"/>
          <w:lang w:val="en"/>
        </w:rPr>
        <w:t>，按照各个指标和标准进行</w:t>
      </w:r>
      <w:r>
        <w:rPr>
          <w:rFonts w:hint="eastAsia" w:ascii="仿宋_GB2312" w:hAnsi="仿宋_GB2312" w:cs="仿宋_GB2312"/>
          <w:szCs w:val="32"/>
          <w:lang w:val="en"/>
        </w:rPr>
        <w:t>了</w:t>
      </w:r>
      <w:r>
        <w:rPr>
          <w:rFonts w:ascii="仿宋_GB2312" w:hAnsi="仿宋_GB2312" w:cs="仿宋_GB2312"/>
          <w:szCs w:val="32"/>
          <w:lang w:val="en"/>
        </w:rPr>
        <w:t>自评。</w:t>
      </w:r>
    </w:p>
    <w:p>
      <w:pPr>
        <w:adjustRightInd w:val="0"/>
        <w:snapToGrid w:val="0"/>
        <w:spacing w:line="576" w:lineRule="exact"/>
        <w:ind w:firstLine="640" w:firstLineChars="200"/>
        <w:rPr>
          <w:rFonts w:ascii="黑体" w:hAnsi="宋体" w:eastAsia="黑体"/>
        </w:rPr>
      </w:pPr>
      <w:r>
        <w:rPr>
          <w:rFonts w:hint="eastAsia" w:ascii="黑体" w:hAnsi="宋体" w:eastAsia="黑体"/>
        </w:rPr>
        <w:t>二、评价实施</w:t>
      </w:r>
    </w:p>
    <w:p>
      <w:pPr>
        <w:spacing w:line="576" w:lineRule="exact"/>
        <w:ind w:firstLine="640"/>
      </w:pPr>
      <w:r>
        <w:rPr>
          <w:rFonts w:hint="eastAsia" w:ascii="楷体_GB2312" w:hAnsi="宋体" w:eastAsia="楷体_GB2312"/>
          <w:b/>
          <w:szCs w:val="32"/>
          <w:lang w:val="zh-CN"/>
        </w:rPr>
        <w:t>（一）评价目的。</w:t>
      </w:r>
    </w:p>
    <w:p>
      <w:pPr>
        <w:adjustRightInd w:val="0"/>
        <w:snapToGrid w:val="0"/>
        <w:spacing w:line="576" w:lineRule="exact"/>
        <w:ind w:firstLine="620" w:firstLineChars="200"/>
        <w:contextualSpacing/>
      </w:pPr>
      <w:r>
        <w:rPr>
          <w:rFonts w:hint="eastAsia" w:ascii="仿宋_GB2312" w:hAnsi="宋体" w:cs="仿宋_GB2312"/>
          <w:color w:val="000000"/>
          <w:kern w:val="0"/>
          <w:sz w:val="31"/>
          <w:szCs w:val="31"/>
          <w:lang w:bidi="ar"/>
        </w:rPr>
        <w:t>黑石坡棚户区改造工作是保障项目建设的供地，提升整体景区形象的必然要求。本项目森林院子片区棚户区限价商品房项目既是改善棚户区群众居住条件和完善城市基础设施配套的要求，更是保障由于景区建设而拆迁的农户基本的住房需求，项目建成后主要用于解决森林院子片区、徐家桃园片区、中央森林康养大道三处地块征地拆迁安置问题。该</w:t>
      </w:r>
      <w:r>
        <w:rPr>
          <w:rFonts w:ascii="仿宋_GB2312" w:hAnsi="宋体" w:cs="仿宋_GB2312"/>
          <w:color w:val="000000"/>
          <w:kern w:val="0"/>
          <w:sz w:val="31"/>
          <w:szCs w:val="31"/>
          <w:lang w:bidi="ar"/>
        </w:rPr>
        <w:t xml:space="preserve">项目规划用地 21.36 亩，新建限价商品房约54700平方米， </w:t>
      </w:r>
      <w:r>
        <w:rPr>
          <w:rFonts w:hint="eastAsia" w:ascii="仿宋_GB2312" w:hAnsi="宋体" w:cs="仿宋_GB2312"/>
          <w:color w:val="000000"/>
          <w:kern w:val="0"/>
          <w:sz w:val="31"/>
          <w:szCs w:val="31"/>
          <w:lang w:bidi="ar"/>
        </w:rPr>
        <w:t>包含住宅、商业等内容。</w:t>
      </w:r>
    </w:p>
    <w:p>
      <w:pPr>
        <w:adjustRightInd w:val="0"/>
        <w:snapToGrid w:val="0"/>
        <w:spacing w:line="576" w:lineRule="exact"/>
        <w:ind w:firstLine="642" w:firstLineChars="200"/>
      </w:pPr>
      <w:r>
        <w:rPr>
          <w:rFonts w:hint="eastAsia" w:ascii="楷体_GB2312" w:hAnsi="宋体" w:eastAsia="楷体_GB2312"/>
          <w:b/>
          <w:szCs w:val="32"/>
          <w:lang w:val="zh-CN"/>
        </w:rPr>
        <w:t>（</w:t>
      </w:r>
      <w:r>
        <w:rPr>
          <w:rFonts w:hint="eastAsia" w:ascii="楷体_GB2312" w:hAnsi="宋体" w:eastAsia="楷体_GB2312"/>
          <w:b/>
          <w:szCs w:val="32"/>
        </w:rPr>
        <w:t>二</w:t>
      </w:r>
      <w:r>
        <w:rPr>
          <w:rFonts w:hint="eastAsia" w:ascii="楷体_GB2312" w:hAnsi="宋体" w:eastAsia="楷体_GB2312"/>
          <w:b/>
          <w:szCs w:val="32"/>
          <w:lang w:val="zh-CN"/>
        </w:rPr>
        <w:t>）预设问题及评价重点。</w:t>
      </w:r>
      <w:r>
        <w:rPr>
          <w:rFonts w:hint="eastAsia"/>
          <w:szCs w:val="32"/>
        </w:rPr>
        <w:t>按照绩效评价指标体系，对资金支出使用全过程及其实施效果进行综合评价和判断。</w:t>
      </w:r>
    </w:p>
    <w:p>
      <w:pPr>
        <w:adjustRightInd w:val="0"/>
        <w:snapToGrid w:val="0"/>
        <w:spacing w:line="576" w:lineRule="exact"/>
        <w:ind w:firstLine="640" w:firstLineChars="200"/>
      </w:pPr>
      <w:r>
        <w:rPr>
          <w:rFonts w:hint="eastAsia"/>
          <w:lang w:val="zh-CN"/>
        </w:rPr>
        <w:t>根据项目实际情况，</w:t>
      </w:r>
      <w:r>
        <w:rPr>
          <w:rFonts w:hint="eastAsia"/>
        </w:rPr>
        <w:t>将指标评价体系中的项目实施作为评价重点；对项目是否完成预期目标，实施结果是否与绩效目标相匹配作为预设问题。</w:t>
      </w:r>
    </w:p>
    <w:p>
      <w:pPr>
        <w:adjustRightInd w:val="0"/>
        <w:snapToGrid w:val="0"/>
        <w:spacing w:line="576" w:lineRule="exact"/>
        <w:ind w:firstLine="642" w:firstLineChars="200"/>
        <w:rPr>
          <w:lang w:val="zh-CN"/>
        </w:rPr>
      </w:pPr>
      <w:r>
        <w:rPr>
          <w:rFonts w:hint="eastAsia" w:ascii="楷体_GB2312" w:hAnsi="宋体" w:eastAsia="楷体_GB2312"/>
          <w:b/>
          <w:szCs w:val="32"/>
          <w:lang w:val="zh-CN"/>
        </w:rPr>
        <w:t>（三）评价选点。</w:t>
      </w:r>
      <w:r>
        <w:rPr>
          <w:rFonts w:hint="eastAsia"/>
          <w:lang w:val="zh-CN"/>
        </w:rPr>
        <w:t>主要是对</w:t>
      </w:r>
      <w:r>
        <w:rPr>
          <w:rFonts w:hint="eastAsia" w:ascii="仿宋_GB2312" w:hAnsi="仿宋_GB2312" w:cs="仿宋_GB2312"/>
          <w:szCs w:val="32"/>
        </w:rPr>
        <w:t>黑石坡森林康养旅游度假区拆迁安置人员的安置情况进行抽查。</w:t>
      </w:r>
    </w:p>
    <w:p>
      <w:pPr>
        <w:spacing w:line="576" w:lineRule="exact"/>
        <w:ind w:firstLine="640"/>
      </w:pPr>
      <w:r>
        <w:rPr>
          <w:rFonts w:hint="eastAsia" w:ascii="楷体_GB2312" w:hAnsi="宋体" w:eastAsia="楷体_GB2312"/>
          <w:b/>
          <w:szCs w:val="32"/>
          <w:lang w:val="zh-CN"/>
        </w:rPr>
        <w:t>（四）评价方法。</w:t>
      </w:r>
      <w:r>
        <w:rPr>
          <w:rFonts w:hint="eastAsia"/>
          <w:lang w:val="zh-CN"/>
        </w:rPr>
        <w:t>该项目采用</w:t>
      </w:r>
      <w:r>
        <w:t>单位自评法</w:t>
      </w:r>
      <w:r>
        <w:rPr>
          <w:rFonts w:hint="eastAsia"/>
        </w:rPr>
        <w:t>进行了整体评价。</w:t>
      </w:r>
    </w:p>
    <w:p>
      <w:pPr>
        <w:spacing w:line="576" w:lineRule="exact"/>
        <w:ind w:firstLine="640"/>
        <w:rPr>
          <w:bCs/>
        </w:rPr>
      </w:pPr>
      <w:r>
        <w:rPr>
          <w:rFonts w:hint="eastAsia" w:ascii="楷体_GB2312" w:hAnsi="宋体" w:eastAsia="楷体_GB2312"/>
          <w:b/>
          <w:szCs w:val="32"/>
          <w:lang w:val="zh-CN"/>
        </w:rPr>
        <w:t>（五）评价组织。</w:t>
      </w:r>
      <w:r>
        <w:rPr>
          <w:rFonts w:hint="eastAsia"/>
          <w:lang w:val="zh-CN"/>
        </w:rPr>
        <w:t>该项目</w:t>
      </w:r>
      <w:r>
        <w:rPr>
          <w:rFonts w:hint="eastAsia"/>
        </w:rPr>
        <w:t>预算绩效评价由项目</w:t>
      </w:r>
      <w:r>
        <w:rPr>
          <w:rFonts w:hint="eastAsia"/>
          <w:lang w:val="zh-CN"/>
        </w:rPr>
        <w:t>实施单位主要负责。项目实施单位组建了项目</w:t>
      </w:r>
      <w:r>
        <w:t>评价</w:t>
      </w:r>
      <w:r>
        <w:rPr>
          <w:rFonts w:hint="eastAsia"/>
        </w:rPr>
        <w:t>小</w:t>
      </w:r>
      <w:r>
        <w:t>组</w:t>
      </w:r>
      <w:r>
        <w:rPr>
          <w:rFonts w:hint="eastAsia"/>
        </w:rPr>
        <w:t>。单位负责人为组长，负责自评全面工作；分管领导为副组长，负责安排实施各板块工作、相关部门负责人为成员，负责评价具体工作。</w:t>
      </w:r>
    </w:p>
    <w:p>
      <w:pPr>
        <w:adjustRightInd w:val="0"/>
        <w:snapToGrid w:val="0"/>
        <w:spacing w:line="576"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6" w:lineRule="exact"/>
        <w:ind w:firstLine="640"/>
      </w:pPr>
      <w:r>
        <w:rPr>
          <w:szCs w:val="32"/>
          <w:lang w:val="zh-CN"/>
        </w:rPr>
        <w:t>根据</w:t>
      </w:r>
      <w:r>
        <w:rPr>
          <w:rFonts w:hint="eastAsia"/>
          <w:szCs w:val="32"/>
          <w:lang w:val="zh-CN"/>
        </w:rPr>
        <w:t>项目</w:t>
      </w:r>
      <w:r>
        <w:rPr>
          <w:szCs w:val="32"/>
          <w:lang w:val="zh-CN"/>
        </w:rPr>
        <w:t>预算绩效评价指标体系“</w:t>
      </w:r>
      <w:r>
        <w:rPr>
          <w:rFonts w:hint="eastAsia"/>
          <w:szCs w:val="32"/>
          <w:lang w:val="zh-CN"/>
        </w:rPr>
        <w:t>通用指标</w:t>
      </w:r>
      <w:r>
        <w:rPr>
          <w:szCs w:val="32"/>
          <w:lang w:val="zh-CN"/>
        </w:rPr>
        <w:t>”</w:t>
      </w:r>
      <w:r>
        <w:rPr>
          <w:rFonts w:hint="eastAsia"/>
          <w:szCs w:val="32"/>
          <w:lang w:val="zh-CN"/>
        </w:rPr>
        <w:t>“专用指标”“个性指标”</w:t>
      </w:r>
      <w:r>
        <w:rPr>
          <w:szCs w:val="32"/>
          <w:lang w:val="zh-CN"/>
        </w:rPr>
        <w:t>涉及</w:t>
      </w:r>
      <w:r>
        <w:rPr>
          <w:rFonts w:hint="eastAsia"/>
          <w:szCs w:val="32"/>
          <w:lang w:val="zh-CN"/>
        </w:rPr>
        <w:t>二、三级</w:t>
      </w:r>
      <w:r>
        <w:rPr>
          <w:szCs w:val="32"/>
          <w:lang w:val="zh-CN"/>
        </w:rPr>
        <w:t>指标进行</w:t>
      </w:r>
      <w:r>
        <w:rPr>
          <w:rFonts w:hint="eastAsia"/>
          <w:szCs w:val="32"/>
          <w:lang w:val="zh-CN"/>
        </w:rPr>
        <w:t>逐项</w:t>
      </w:r>
      <w:r>
        <w:rPr>
          <w:szCs w:val="32"/>
          <w:lang w:val="zh-CN"/>
        </w:rPr>
        <w:t>绩效分析</w:t>
      </w:r>
      <w:r>
        <w:rPr>
          <w:rFonts w:hint="eastAsia"/>
          <w:szCs w:val="32"/>
          <w:lang w:val="zh-CN"/>
        </w:rPr>
        <w:t>并评分</w:t>
      </w:r>
      <w:r>
        <w:rPr>
          <w:rFonts w:hint="eastAsia"/>
          <w:szCs w:val="32"/>
        </w:rPr>
        <w:t>。</w:t>
      </w:r>
    </w:p>
    <w:p>
      <w:pPr>
        <w:spacing w:line="576" w:lineRule="exact"/>
        <w:ind w:firstLine="640"/>
        <w:rPr>
          <w:rFonts w:ascii="楷体_GB2312" w:hAnsi="宋体" w:eastAsia="楷体_GB2312"/>
          <w:b/>
        </w:rPr>
      </w:pPr>
      <w:r>
        <w:rPr>
          <w:rFonts w:hint="eastAsia" w:ascii="楷体_GB2312" w:hAnsi="宋体" w:eastAsia="楷体_GB2312"/>
          <w:b/>
          <w:szCs w:val="32"/>
          <w:lang w:val="zh-CN"/>
        </w:rPr>
        <w:t>（一）</w:t>
      </w:r>
      <w:r>
        <w:rPr>
          <w:rFonts w:hint="eastAsia" w:ascii="楷体_GB2312" w:hAnsi="宋体" w:eastAsia="楷体_GB2312"/>
          <w:b/>
          <w:szCs w:val="32"/>
        </w:rPr>
        <w:t>通用指标</w:t>
      </w:r>
      <w:r>
        <w:rPr>
          <w:rFonts w:eastAsia="楷体_GB2312"/>
          <w:b/>
          <w:bCs/>
          <w:color w:val="000000"/>
          <w:kern w:val="0"/>
          <w:szCs w:val="32"/>
          <w:shd w:val="clear" w:color="auto" w:fill="FFFFFF"/>
          <w:lang w:val="zh-CN"/>
        </w:rPr>
        <w:t>绩效分析。</w:t>
      </w:r>
    </w:p>
    <w:p>
      <w:pPr>
        <w:spacing w:line="576" w:lineRule="exact"/>
        <w:ind w:firstLine="640"/>
      </w:pPr>
      <w:r>
        <w:rPr>
          <w:rFonts w:hint="eastAsia" w:ascii="楷体_GB2312" w:hAnsi="楷体_GB2312" w:eastAsia="楷体_GB2312" w:cs="楷体_GB2312"/>
          <w:szCs w:val="32"/>
        </w:rPr>
        <w:t>1.项目决策。</w:t>
      </w:r>
      <w:r>
        <w:rPr>
          <w:rFonts w:hint="eastAsia"/>
          <w:szCs w:val="32"/>
        </w:rPr>
        <w:t>该项目设立完全符合市委市政府有关决策部署安排，</w:t>
      </w:r>
      <w:r>
        <w:rPr>
          <w:rFonts w:hint="eastAsia"/>
        </w:rPr>
        <w:t>属于政府支持范围，绩效目标科学合理、规范完整、量化细化、与预算匹配。</w:t>
      </w:r>
      <w:r>
        <w:rPr>
          <w:rFonts w:hint="eastAsia"/>
          <w:szCs w:val="32"/>
        </w:rPr>
        <w:t>充分评估论证项目立项必要性、前瞻性、合理性和可行性。自评得18分。</w:t>
      </w:r>
    </w:p>
    <w:p>
      <w:pPr>
        <w:spacing w:line="576" w:lineRule="exact"/>
        <w:ind w:firstLine="640"/>
      </w:pPr>
      <w:r>
        <w:rPr>
          <w:rFonts w:hint="eastAsia" w:ascii="楷体_GB2312" w:hAnsi="楷体_GB2312" w:eastAsia="楷体_GB2312" w:cs="楷体_GB2312"/>
          <w:szCs w:val="32"/>
        </w:rPr>
        <w:t>2.项目管理。</w:t>
      </w:r>
      <w:r>
        <w:rPr>
          <w:rFonts w:hint="eastAsia"/>
        </w:rPr>
        <w:t>单位项目资金管理制度较健全、要素完备；项目资金分配合理，项目管理、审批符合管理要求；管资金、项目、政策必须管绩效，项目绩效监管已按要求开展。自评得分18分。</w:t>
      </w:r>
    </w:p>
    <w:p>
      <w:pPr>
        <w:spacing w:line="576" w:lineRule="exact"/>
        <w:ind w:firstLine="640"/>
      </w:pPr>
      <w:r>
        <w:rPr>
          <w:rFonts w:hint="eastAsia" w:ascii="楷体_GB2312" w:hAnsi="楷体_GB2312" w:eastAsia="楷体_GB2312" w:cs="楷体_GB2312"/>
          <w:szCs w:val="32"/>
        </w:rPr>
        <w:t>3.项目实施。</w:t>
      </w:r>
      <w:r>
        <w:rPr>
          <w:rFonts w:hint="eastAsia" w:ascii="楷体_GB2312" w:hAnsi="楷体_GB2312" w:eastAsia="楷体_GB2312" w:cs="楷体_GB2312"/>
        </w:rPr>
        <w:t>市</w:t>
      </w:r>
      <w:r>
        <w:rPr>
          <w:rFonts w:hint="eastAsia"/>
        </w:rPr>
        <w:t>财政局按时拨付财政资金、单位按照合同约定及相关要求及时拨付提供服务供应商。项目资金使用、拨付符合国家财经法规、财务管理制度及有关专项资金管理制度办法规定和审批程序，不存在超范围、超标准、超进度使用专项资金，不存在资金损失浪费、长期沉淀、截留、挤占、挪用、虚列支出等情况。自评得分9分。</w:t>
      </w:r>
    </w:p>
    <w:p>
      <w:pPr>
        <w:spacing w:line="576" w:lineRule="exact"/>
        <w:ind w:firstLine="640"/>
      </w:pPr>
      <w:r>
        <w:rPr>
          <w:rFonts w:hint="eastAsia" w:ascii="楷体_GB2312" w:hAnsi="楷体_GB2312" w:eastAsia="楷体_GB2312" w:cs="楷体_GB2312"/>
          <w:szCs w:val="32"/>
        </w:rPr>
        <w:t>4.项目结果。</w:t>
      </w:r>
      <w:r>
        <w:rPr>
          <w:rFonts w:hint="eastAsia" w:ascii="仿宋_GB2312" w:hAnsi="仿宋_GB2312" w:cs="仿宋_GB2312"/>
          <w:szCs w:val="32"/>
        </w:rPr>
        <w:t>2023年，该项目完成了森林院子限价商品房已安置52套住房，建筑面积4785.53</w:t>
      </w:r>
      <w:r>
        <w:rPr>
          <w:rFonts w:hint="eastAsia" w:ascii="Segoe UI Emoji" w:hAnsi="Segoe UI Emoji" w:eastAsia="Segoe UI Emoji" w:cs="仿宋_GB2312"/>
          <w:szCs w:val="32"/>
        </w:rPr>
        <w:t>㎡</w:t>
      </w:r>
      <w:r>
        <w:rPr>
          <w:rFonts w:hint="eastAsia" w:ascii="仿宋_GB2312" w:hAnsi="仿宋_GB2312" w:cs="仿宋_GB2312"/>
          <w:szCs w:val="32"/>
        </w:rPr>
        <w:t>，</w:t>
      </w:r>
      <w:r>
        <w:rPr>
          <w:rFonts w:hint="eastAsia"/>
        </w:rPr>
        <w:t>已大部分完成预期目标、实施结果与绩效目标相匹配。自评得分8分。</w:t>
      </w:r>
    </w:p>
    <w:p>
      <w:pPr>
        <w:spacing w:line="576" w:lineRule="exact"/>
        <w:ind w:firstLine="642" w:firstLineChars="200"/>
        <w:rPr>
          <w:rFonts w:ascii="仿宋_GB2312" w:hAnsi="仿宋_GB2312" w:cs="仿宋_GB2312"/>
        </w:rPr>
      </w:pPr>
      <w:r>
        <w:rPr>
          <w:rFonts w:hint="eastAsia" w:ascii="楷体_GB2312" w:hAnsi="宋体" w:eastAsia="楷体_GB2312"/>
          <w:b/>
          <w:szCs w:val="32"/>
          <w:lang w:val="zh-CN"/>
        </w:rPr>
        <w:t>（二）</w:t>
      </w:r>
      <w:r>
        <w:rPr>
          <w:rFonts w:hint="eastAsia" w:ascii="楷体_GB2312" w:hAnsi="宋体" w:eastAsia="楷体_GB2312"/>
          <w:b/>
          <w:szCs w:val="32"/>
        </w:rPr>
        <w:t>专用指标</w:t>
      </w:r>
      <w:r>
        <w:rPr>
          <w:rFonts w:eastAsia="楷体_GB2312"/>
          <w:b/>
          <w:bCs/>
          <w:color w:val="000000"/>
          <w:kern w:val="0"/>
          <w:szCs w:val="32"/>
          <w:shd w:val="clear" w:color="auto" w:fill="FFFFFF"/>
          <w:lang w:val="zh-CN"/>
        </w:rPr>
        <w:t>绩效分析。</w:t>
      </w:r>
      <w:r>
        <w:rPr>
          <w:rFonts w:hint="eastAsia"/>
          <w:szCs w:val="32"/>
        </w:rPr>
        <w:t>符合市委市政府支持重点、优势产业支持政策，为公司创造了主营业务收入。</w:t>
      </w:r>
      <w:r>
        <w:rPr>
          <w:rFonts w:hint="eastAsia" w:ascii="楷体_GB2312" w:hAnsi="楷体_GB2312" w:eastAsia="楷体_GB2312" w:cs="楷体_GB2312"/>
          <w:szCs w:val="32"/>
        </w:rPr>
        <w:t>及时</w:t>
      </w:r>
      <w:r>
        <w:rPr>
          <w:rFonts w:hint="eastAsia" w:ascii="仿宋_GB2312" w:hAnsi="仿宋_GB2312" w:cs="仿宋_GB2312"/>
          <w:szCs w:val="32"/>
        </w:rPr>
        <w:t>解决黑石坡森林康养旅游度假区拆迁人员的安置问题。自评得分30分。</w:t>
      </w:r>
    </w:p>
    <w:p>
      <w:pPr>
        <w:spacing w:line="576" w:lineRule="exact"/>
        <w:ind w:firstLine="640"/>
        <w:rPr>
          <w:rFonts w:ascii="仿宋_GB2312" w:hAnsi="仿宋_GB2312" w:cs="仿宋_GB2312"/>
          <w:kern w:val="0"/>
        </w:rPr>
      </w:pPr>
      <w:r>
        <w:rPr>
          <w:rFonts w:hint="eastAsia" w:ascii="楷体_GB2312" w:hAnsi="宋体" w:eastAsia="楷体_GB2312"/>
          <w:b/>
          <w:szCs w:val="32"/>
          <w:lang w:val="zh-CN"/>
        </w:rPr>
        <w:t>（三）</w:t>
      </w:r>
      <w:r>
        <w:rPr>
          <w:rFonts w:hint="eastAsia" w:ascii="楷体_GB2312" w:hAnsi="宋体" w:eastAsia="楷体_GB2312"/>
          <w:b/>
          <w:szCs w:val="32"/>
        </w:rPr>
        <w:t>个性指标</w:t>
      </w:r>
      <w:r>
        <w:rPr>
          <w:rFonts w:eastAsia="楷体_GB2312"/>
          <w:b/>
          <w:bCs/>
          <w:color w:val="000000"/>
          <w:kern w:val="0"/>
          <w:szCs w:val="32"/>
          <w:shd w:val="clear" w:color="auto" w:fill="FFFFFF"/>
          <w:lang w:val="zh-CN"/>
        </w:rPr>
        <w:t>绩效分析。</w:t>
      </w:r>
      <w:r>
        <w:rPr>
          <w:rFonts w:hint="eastAsia" w:ascii="仿宋_GB2312" w:hAnsi="仿宋_GB2312" w:cs="仿宋_GB2312"/>
          <w:kern w:val="0"/>
          <w:szCs w:val="32"/>
          <w:lang w:val="zh-CN"/>
        </w:rPr>
        <w:t>个性指标完成较好。</w:t>
      </w:r>
      <w:r>
        <w:rPr>
          <w:rFonts w:hint="eastAsia"/>
        </w:rPr>
        <w:t>自评得分16分。</w:t>
      </w:r>
    </w:p>
    <w:p>
      <w:pPr>
        <w:pStyle w:val="2"/>
        <w:spacing w:before="93" w:line="576" w:lineRule="exact"/>
        <w:ind w:firstLine="640" w:firstLineChars="200"/>
        <w:rPr>
          <w:rFonts w:ascii="黑体" w:hAnsi="宋体"/>
          <w:sz w:val="32"/>
          <w:szCs w:val="32"/>
        </w:rPr>
      </w:pPr>
      <w:r>
        <w:rPr>
          <w:rFonts w:hint="eastAsia" w:ascii="黑体" w:hAnsi="宋体" w:eastAsia="黑体"/>
          <w:sz w:val="32"/>
          <w:szCs w:val="32"/>
        </w:rPr>
        <w:t>四、评价结论</w:t>
      </w:r>
    </w:p>
    <w:p>
      <w:pPr>
        <w:pStyle w:val="2"/>
        <w:spacing w:before="93" w:line="576" w:lineRule="exact"/>
        <w:ind w:firstLine="640" w:firstLineChars="200"/>
        <w:rPr>
          <w:rFonts w:hAnsi="仿宋_GB2312" w:cs="仿宋_GB2312"/>
          <w:sz w:val="32"/>
          <w:szCs w:val="32"/>
        </w:rPr>
      </w:pPr>
      <w:r>
        <w:rPr>
          <w:rFonts w:hint="eastAsia" w:hAnsi="仿宋_GB2312" w:cs="仿宋_GB2312"/>
          <w:sz w:val="32"/>
          <w:szCs w:val="32"/>
        </w:rPr>
        <w:t>该项目经评价小组认真、系统评价，项目实施较好，自评得分99分。</w:t>
      </w:r>
    </w:p>
    <w:p>
      <w:pPr>
        <w:pStyle w:val="2"/>
        <w:spacing w:before="93" w:line="576" w:lineRule="exact"/>
        <w:ind w:firstLine="640" w:firstLineChars="200"/>
        <w:rPr>
          <w:rFonts w:ascii="黑体" w:hAnsi="宋体" w:eastAsia="黑体"/>
          <w:sz w:val="32"/>
          <w:szCs w:val="32"/>
        </w:rPr>
      </w:pPr>
      <w:r>
        <w:rPr>
          <w:rFonts w:hint="eastAsia" w:ascii="黑体" w:hAnsi="宋体" w:eastAsia="黑体"/>
          <w:sz w:val="32"/>
          <w:szCs w:val="32"/>
        </w:rPr>
        <w:t>五、存在主要问题</w:t>
      </w:r>
    </w:p>
    <w:p>
      <w:pPr>
        <w:pStyle w:val="2"/>
        <w:spacing w:before="93" w:line="576" w:lineRule="exact"/>
        <w:ind w:firstLine="640" w:firstLineChars="200"/>
        <w:rPr>
          <w:rFonts w:hAnsi="仿宋_GB2312" w:cs="仿宋_GB2312"/>
          <w:sz w:val="32"/>
          <w:szCs w:val="32"/>
        </w:rPr>
      </w:pPr>
      <w:r>
        <w:rPr>
          <w:rFonts w:hint="eastAsia" w:hAnsi="仿宋_GB2312" w:cs="仿宋_GB2312"/>
          <w:sz w:val="32"/>
          <w:szCs w:val="32"/>
        </w:rPr>
        <w:t>专项预算项目绩效自评发现的主要问题：一是对照通用指标中项目结果还未全面完成；二是预算绩效管理观念不深入，存在项目管理、资金管理、绩效管理衔接不太紧密的现象。</w:t>
      </w:r>
    </w:p>
    <w:p>
      <w:pPr>
        <w:pStyle w:val="2"/>
        <w:spacing w:before="93" w:line="576" w:lineRule="exact"/>
        <w:ind w:firstLine="640" w:firstLineChars="200"/>
        <w:rPr>
          <w:rFonts w:ascii="黑体" w:hAnsi="宋体" w:eastAsia="黑体"/>
          <w:sz w:val="32"/>
          <w:szCs w:val="32"/>
        </w:rPr>
      </w:pPr>
      <w:r>
        <w:rPr>
          <w:rFonts w:hint="eastAsia" w:ascii="黑体" w:hAnsi="宋体" w:eastAsia="黑体"/>
          <w:sz w:val="32"/>
          <w:szCs w:val="32"/>
        </w:rPr>
        <w:t>六、改进建议</w:t>
      </w:r>
    </w:p>
    <w:p>
      <w:pPr>
        <w:pStyle w:val="2"/>
        <w:spacing w:before="93" w:line="576" w:lineRule="exact"/>
        <w:ind w:firstLine="640" w:firstLineChars="200"/>
        <w:rPr>
          <w:rFonts w:hAnsi="仿宋_GB2312" w:cs="仿宋_GB2312"/>
          <w:sz w:val="32"/>
          <w:szCs w:val="32"/>
        </w:rPr>
      </w:pPr>
      <w:r>
        <w:rPr>
          <w:rFonts w:hint="eastAsia" w:hAnsi="仿宋_GB2312" w:cs="仿宋_GB2312"/>
          <w:sz w:val="32"/>
          <w:szCs w:val="32"/>
        </w:rPr>
        <w:t>一是加快推动黑石坡森林康养旅游度假区拆迁户安置人员所选购森林院子限价商品房的购房安置问题；二是加强预算绩效管理培训学习，提高认识。</w:t>
      </w:r>
    </w:p>
    <w:p>
      <w:pPr>
        <w:widowControl/>
        <w:jc w:val="left"/>
      </w:pPr>
    </w:p>
    <w:p>
      <w:pPr>
        <w:pStyle w:val="2"/>
        <w:spacing w:before="93"/>
      </w:pPr>
    </w:p>
    <w:p>
      <w:pPr>
        <w:pStyle w:val="2"/>
        <w:spacing w:before="93"/>
      </w:pPr>
    </w:p>
    <w:p>
      <w:pPr>
        <w:pStyle w:val="2"/>
        <w:spacing w:before="93"/>
      </w:pPr>
    </w:p>
    <w:p>
      <w:pPr>
        <w:spacing w:line="560" w:lineRule="exact"/>
        <w:jc w:val="center"/>
        <w:rPr>
          <w:rFonts w:ascii="方正小标宋简体" w:hAnsi="宋体" w:eastAsia="方正小标宋简体"/>
          <w:bCs/>
          <w:color w:val="000000"/>
          <w:kern w:val="0"/>
          <w:sz w:val="44"/>
          <w:szCs w:val="44"/>
        </w:rPr>
      </w:pPr>
      <w:r>
        <w:rPr>
          <w:rFonts w:hint="eastAsia" w:ascii="方正小标宋简体" w:hAnsi="宋体" w:eastAsia="方正小标宋简体"/>
          <w:bCs/>
          <w:color w:val="000000"/>
          <w:kern w:val="0"/>
          <w:sz w:val="44"/>
          <w:szCs w:val="44"/>
        </w:rPr>
        <w:t>关于广元市城区供水管网及配套设施</w:t>
      </w:r>
      <w:r>
        <w:rPr>
          <w:rFonts w:ascii="方正小标宋简体" w:hAnsi="宋体" w:eastAsia="方正小标宋简体"/>
          <w:bCs/>
          <w:color w:val="000000"/>
          <w:kern w:val="0"/>
          <w:sz w:val="44"/>
          <w:szCs w:val="44"/>
        </w:rPr>
        <w:t>PPP项目</w:t>
      </w:r>
      <w:r>
        <w:rPr>
          <w:rFonts w:hint="eastAsia" w:ascii="方正小标宋简体" w:hAnsi="宋体" w:eastAsia="方正小标宋简体"/>
          <w:bCs/>
          <w:color w:val="000000"/>
          <w:kern w:val="0"/>
          <w:sz w:val="44"/>
          <w:szCs w:val="44"/>
        </w:rPr>
        <w:t>的绩效评价的报告</w:t>
      </w:r>
    </w:p>
    <w:p>
      <w:pPr>
        <w:spacing w:line="560" w:lineRule="exact"/>
        <w:ind w:firstLine="640"/>
        <w:jc w:val="center"/>
        <w:rPr>
          <w:rFonts w:ascii="宋体" w:hAnsi="宋体" w:eastAsia="宋体"/>
          <w:szCs w:val="32"/>
          <w:lang w:val="zh-CN"/>
        </w:rPr>
      </w:pPr>
    </w:p>
    <w:p>
      <w:pPr>
        <w:widowControl/>
        <w:tabs>
          <w:tab w:val="left" w:pos="2160"/>
        </w:tabs>
        <w:spacing w:line="560" w:lineRule="exact"/>
        <w:ind w:firstLine="640" w:firstLineChars="200"/>
        <w:jc w:val="left"/>
        <w:rPr>
          <w:rFonts w:ascii="黑体" w:hAnsi="宋体" w:eastAsia="黑体"/>
          <w:bCs/>
          <w:kern w:val="0"/>
          <w:position w:val="3"/>
          <w:szCs w:val="32"/>
          <w:lang w:val="zh-CN"/>
        </w:rPr>
      </w:pPr>
      <w:r>
        <w:rPr>
          <w:rFonts w:hint="eastAsia" w:ascii="黑体" w:hAnsi="宋体" w:eastAsia="黑体"/>
          <w:bCs/>
          <w:kern w:val="0"/>
          <w:position w:val="3"/>
          <w:szCs w:val="32"/>
          <w:lang w:val="zh-CN"/>
        </w:rPr>
        <w:t>一、项目概况</w:t>
      </w:r>
    </w:p>
    <w:p>
      <w:pPr>
        <w:adjustRightInd w:val="0"/>
        <w:snapToGrid w:val="0"/>
        <w:spacing w:line="560" w:lineRule="exact"/>
        <w:ind w:firstLine="642" w:firstLineChars="200"/>
        <w:rPr>
          <w:rFonts w:ascii="楷体_GB2312" w:hAnsi="宋体" w:eastAsia="楷体_GB2312"/>
          <w:b/>
          <w:szCs w:val="32"/>
          <w:lang w:val="zh-CN"/>
        </w:rPr>
      </w:pPr>
      <w:r>
        <w:rPr>
          <w:rFonts w:hint="eastAsia" w:ascii="楷体_GB2312" w:hAnsi="宋体" w:eastAsia="楷体_GB2312"/>
          <w:b/>
          <w:szCs w:val="32"/>
          <w:lang w:val="zh-CN"/>
        </w:rPr>
        <w:t>（一）项目基本情况。</w:t>
      </w:r>
    </w:p>
    <w:p>
      <w:pPr>
        <w:adjustRightInd w:val="0"/>
        <w:snapToGrid w:val="0"/>
        <w:spacing w:line="560" w:lineRule="exact"/>
        <w:ind w:firstLine="642" w:firstLineChars="200"/>
        <w:contextualSpacing/>
        <w:rPr>
          <w:rFonts w:ascii="仿宋_GB2312" w:hAnsi="仿宋_GB2312" w:cs="仿宋_GB2312"/>
          <w:b/>
          <w:kern w:val="0"/>
          <w:szCs w:val="32"/>
          <w:shd w:val="clear" w:color="auto" w:fill="FFFFFF"/>
          <w:lang w:val="zh-CN"/>
        </w:rPr>
      </w:pPr>
      <w:r>
        <w:rPr>
          <w:rFonts w:hint="eastAsia" w:ascii="仿宋_GB2312" w:hAnsi="仿宋_GB2312" w:cs="仿宋_GB2312"/>
          <w:b/>
          <w:kern w:val="0"/>
          <w:szCs w:val="32"/>
          <w:shd w:val="clear" w:color="auto" w:fill="FFFFFF"/>
        </w:rPr>
        <w:t>1.</w:t>
      </w:r>
      <w:r>
        <w:rPr>
          <w:rFonts w:hint="eastAsia" w:ascii="仿宋_GB2312" w:hAnsi="仿宋_GB2312" w:cs="仿宋_GB2312"/>
          <w:b/>
          <w:kern w:val="0"/>
          <w:szCs w:val="32"/>
          <w:shd w:val="clear" w:color="auto" w:fill="FFFFFF"/>
          <w:lang w:val="zh-CN"/>
        </w:rPr>
        <w:t>说明项目主管部门（单位）在该项目管理中的职能</w:t>
      </w:r>
    </w:p>
    <w:p>
      <w:pPr>
        <w:spacing w:line="560" w:lineRule="exact"/>
        <w:ind w:firstLine="640" w:firstLineChars="200"/>
        <w:jc w:val="left"/>
        <w:rPr>
          <w:rFonts w:ascii="仿宋_GB2312" w:hAnsi="仿宋_GB2312" w:cs="仿宋_GB2312"/>
          <w:kern w:val="0"/>
          <w:szCs w:val="32"/>
          <w:shd w:val="clear" w:color="auto" w:fill="FFFFFF"/>
        </w:rPr>
      </w:pPr>
      <w:r>
        <w:rPr>
          <w:rFonts w:hint="eastAsia" w:ascii="仿宋_GB2312" w:hAnsi="仿宋_GB2312" w:cs="仿宋_GB2312"/>
          <w:bCs/>
          <w:color w:val="000000"/>
          <w:szCs w:val="32"/>
        </w:rPr>
        <w:t>市国资</w:t>
      </w:r>
      <w:r>
        <w:rPr>
          <w:rFonts w:hint="eastAsia" w:ascii="仿宋_GB2312" w:hAnsi="仿宋_GB2312" w:cs="仿宋_GB2312"/>
          <w:kern w:val="0"/>
          <w:szCs w:val="32"/>
          <w:shd w:val="clear" w:color="auto" w:fill="FFFFFF"/>
        </w:rPr>
        <w:t>委作为主城区供排水PPP项目主管部门，在项目建设过程中，积极督导项目承建单位广元首创水务有限公司进行项目立项审批工作，积极协调项目推进过程中建设手续办理相关事宜。</w:t>
      </w:r>
    </w:p>
    <w:p>
      <w:pPr>
        <w:spacing w:line="560" w:lineRule="exact"/>
        <w:ind w:firstLine="642" w:firstLineChars="200"/>
        <w:jc w:val="left"/>
        <w:rPr>
          <w:rFonts w:ascii="仿宋_GB2312" w:hAnsi="仿宋_GB2312" w:cs="仿宋_GB2312"/>
          <w:b/>
          <w:bCs/>
          <w:color w:val="000000"/>
          <w:szCs w:val="32"/>
          <w:lang w:val="zh-CN"/>
        </w:rPr>
      </w:pPr>
      <w:r>
        <w:rPr>
          <w:rFonts w:hint="eastAsia" w:ascii="仿宋_GB2312" w:hAnsi="仿宋_GB2312" w:cs="仿宋_GB2312"/>
          <w:b/>
          <w:bCs/>
          <w:color w:val="000000"/>
          <w:szCs w:val="32"/>
        </w:rPr>
        <w:t>2.</w:t>
      </w:r>
      <w:r>
        <w:rPr>
          <w:rFonts w:hint="eastAsia" w:ascii="仿宋_GB2312" w:hAnsi="仿宋_GB2312" w:cs="仿宋_GB2312"/>
          <w:b/>
          <w:bCs/>
          <w:color w:val="000000"/>
          <w:szCs w:val="32"/>
          <w:lang w:val="zh-CN"/>
        </w:rPr>
        <w:t>项目立项、资金申报的依据</w:t>
      </w:r>
    </w:p>
    <w:p>
      <w:pPr>
        <w:spacing w:line="560" w:lineRule="exact"/>
        <w:ind w:firstLine="640" w:firstLineChars="200"/>
        <w:jc w:val="left"/>
        <w:rPr>
          <w:rFonts w:ascii="仿宋_GB2312" w:hAnsi="仿宋_GB2312" w:cs="仿宋_GB2312"/>
          <w:kern w:val="0"/>
          <w:szCs w:val="32"/>
          <w:shd w:val="clear" w:color="auto" w:fill="FFFFFF"/>
        </w:rPr>
      </w:pPr>
      <w:r>
        <w:rPr>
          <w:rFonts w:hint="eastAsia" w:ascii="仿宋_GB2312" w:hAnsi="仿宋_GB2312" w:cs="仿宋_GB2312"/>
          <w:kern w:val="0"/>
          <w:szCs w:val="32"/>
          <w:shd w:val="clear" w:color="auto" w:fill="FFFFFF"/>
          <w:lang w:val="zh-CN"/>
        </w:rPr>
        <w:t>白龙水厂连通城区输水管网工程于</w:t>
      </w:r>
      <w:r>
        <w:rPr>
          <w:rFonts w:hint="eastAsia" w:ascii="仿宋_GB2312" w:hAnsi="仿宋_GB2312" w:cs="仿宋_GB2312"/>
          <w:kern w:val="0"/>
          <w:szCs w:val="32"/>
          <w:shd w:val="clear" w:color="auto" w:fill="FFFFFF"/>
        </w:rPr>
        <w:t>2017年11月7日完成项目备案，</w:t>
      </w:r>
      <w:r>
        <w:rPr>
          <w:rFonts w:hint="eastAsia" w:ascii="仿宋_GB2312" w:hAnsi="仿宋_GB2312" w:cs="仿宋_GB2312"/>
          <w:color w:val="000000"/>
          <w:szCs w:val="32"/>
        </w:rPr>
        <w:t>根据</w:t>
      </w:r>
      <w:r>
        <w:rPr>
          <w:rFonts w:hint="eastAsia" w:ascii="仿宋_GB2312" w:hAnsi="仿宋_GB2312" w:cs="仿宋_GB2312"/>
          <w:bCs/>
          <w:color w:val="000000"/>
          <w:szCs w:val="32"/>
        </w:rPr>
        <w:t>2015年11月26日广元市人民政府与北京首创股份有限公司签订的《广元市城区供排水PPP项目投资合作协议》、2017年12月1日广元市人民政府与广元首创水务有限公司签订的《广元市主城区供水管网及配套设施PPP项目投资建设协议》中的市</w:t>
      </w:r>
      <w:r>
        <w:rPr>
          <w:rFonts w:hint="eastAsia" w:ascii="仿宋_GB2312" w:hAnsi="仿宋_GB2312" w:cs="仿宋_GB2312"/>
          <w:bCs/>
          <w:szCs w:val="32"/>
        </w:rPr>
        <w:t>城区供水管网PPP</w:t>
      </w:r>
      <w:r>
        <w:rPr>
          <w:rFonts w:hint="eastAsia" w:ascii="仿宋_GB2312" w:hAnsi="仿宋_GB2312" w:cs="仿宋_GB2312"/>
          <w:bCs/>
          <w:color w:val="000000"/>
          <w:szCs w:val="32"/>
        </w:rPr>
        <w:t>项目相关协议约定，</w:t>
      </w:r>
      <w:r>
        <w:rPr>
          <w:rFonts w:hint="eastAsia" w:ascii="仿宋_GB2312" w:hAnsi="仿宋_GB2312" w:cs="仿宋_GB2312"/>
          <w:color w:val="000000"/>
          <w:szCs w:val="32"/>
        </w:rPr>
        <w:t>广元首创水务有限公司于2022年8月22日向</w:t>
      </w:r>
      <w:r>
        <w:rPr>
          <w:rFonts w:hint="eastAsia" w:ascii="仿宋_GB2312" w:hAnsi="仿宋_GB2312" w:cs="仿宋_GB2312"/>
          <w:color w:val="000000"/>
          <w:szCs w:val="32"/>
          <w:lang w:val="zh-CN"/>
        </w:rPr>
        <w:t>广元市政府国有资产监督管理委员会</w:t>
      </w:r>
      <w:r>
        <w:rPr>
          <w:rFonts w:hint="eastAsia" w:ascii="仿宋_GB2312" w:hAnsi="仿宋_GB2312" w:cs="仿宋_GB2312"/>
          <w:color w:val="000000"/>
          <w:szCs w:val="32"/>
        </w:rPr>
        <w:t>提交</w:t>
      </w:r>
      <w:r>
        <w:rPr>
          <w:rFonts w:hint="eastAsia" w:ascii="仿宋_GB2312" w:hAnsi="仿宋_GB2312" w:cs="仿宋_GB2312"/>
          <w:bCs/>
          <w:color w:val="000000"/>
          <w:szCs w:val="32"/>
        </w:rPr>
        <w:t>《广元首创水务有限公司关于请求协调主城区供排水PPP项目财政付费有关事项的报告</w:t>
      </w:r>
      <w:r>
        <w:rPr>
          <w:rFonts w:hint="eastAsia" w:ascii="仿宋_GB2312" w:hAnsi="仿宋_GB2312" w:cs="仿宋_GB2312"/>
          <w:color w:val="000000"/>
          <w:szCs w:val="32"/>
        </w:rPr>
        <w:t>》（广元首创文〔2022〕53号）。</w:t>
      </w:r>
    </w:p>
    <w:p>
      <w:pPr>
        <w:spacing w:line="560" w:lineRule="exact"/>
        <w:ind w:firstLine="642" w:firstLineChars="200"/>
        <w:jc w:val="left"/>
        <w:rPr>
          <w:rFonts w:ascii="仿宋_GB2312" w:hAnsi="仿宋_GB2312" w:cs="仿宋_GB2312"/>
          <w:b/>
          <w:color w:val="000000"/>
          <w:szCs w:val="32"/>
        </w:rPr>
      </w:pPr>
      <w:r>
        <w:rPr>
          <w:rFonts w:hint="eastAsia" w:ascii="仿宋_GB2312" w:hAnsi="仿宋_GB2312" w:cs="仿宋_GB2312"/>
          <w:b/>
          <w:color w:val="000000"/>
          <w:szCs w:val="32"/>
        </w:rPr>
        <w:t>3.项目</w:t>
      </w:r>
      <w:r>
        <w:rPr>
          <w:rFonts w:hint="eastAsia" w:ascii="仿宋_GB2312" w:hAnsi="仿宋_GB2312" w:cs="仿宋_GB2312"/>
          <w:b/>
          <w:color w:val="000000"/>
          <w:szCs w:val="32"/>
          <w:lang w:val="zh-CN"/>
        </w:rPr>
        <w:t>管理办法制定情况</w:t>
      </w:r>
    </w:p>
    <w:p>
      <w:pPr>
        <w:spacing w:line="560" w:lineRule="exact"/>
        <w:ind w:firstLine="640" w:firstLineChars="200"/>
        <w:rPr>
          <w:rFonts w:ascii="仿宋" w:hAnsi="仿宋" w:eastAsia="仿宋" w:cs="仿宋"/>
          <w:szCs w:val="32"/>
        </w:rPr>
      </w:pPr>
      <w:r>
        <w:rPr>
          <w:rFonts w:hint="eastAsia" w:ascii="仿宋_GB2312" w:hAnsi="仿宋_GB2312" w:cs="仿宋_GB2312"/>
          <w:kern w:val="0"/>
          <w:szCs w:val="32"/>
          <w:shd w:val="clear" w:color="auto" w:fill="FFFFFF"/>
          <w:lang w:val="zh-CN"/>
        </w:rPr>
        <w:t>白龙水厂连通城区输水管网工程</w:t>
      </w:r>
      <w:r>
        <w:rPr>
          <w:rFonts w:hint="eastAsia" w:ascii="仿宋" w:hAnsi="仿宋" w:eastAsia="仿宋" w:cs="仿宋"/>
          <w:szCs w:val="32"/>
        </w:rPr>
        <w:t>严格按照《中华人民共和国建筑法》、《建设工程质量管理条例》等相关法律法规，制定和完善了《广元首创水务有限公司项目工程管理制度》，制度中明确了管网一期项目部进度管理、成本管理、质量管理、安全管理、招采管理等一系列管理职责。</w:t>
      </w:r>
    </w:p>
    <w:p>
      <w:pPr>
        <w:adjustRightInd w:val="0"/>
        <w:snapToGrid w:val="0"/>
        <w:spacing w:line="560" w:lineRule="exact"/>
        <w:ind w:firstLine="642" w:firstLineChars="200"/>
        <w:contextualSpacing/>
        <w:rPr>
          <w:rFonts w:ascii="仿宋_GB2312"/>
          <w:b/>
          <w:szCs w:val="32"/>
          <w:lang w:val="zh-CN"/>
        </w:rPr>
      </w:pPr>
      <w:r>
        <w:rPr>
          <w:rFonts w:hint="eastAsia" w:ascii="仿宋_GB2312"/>
          <w:b/>
          <w:szCs w:val="32"/>
        </w:rPr>
        <w:t>4.</w:t>
      </w:r>
      <w:r>
        <w:rPr>
          <w:rFonts w:hint="eastAsia" w:ascii="仿宋_GB2312"/>
          <w:b/>
          <w:szCs w:val="32"/>
          <w:lang w:val="zh-CN"/>
        </w:rPr>
        <w:t>资金分配的原则及考虑因素</w:t>
      </w:r>
    </w:p>
    <w:p>
      <w:pPr>
        <w:spacing w:line="560" w:lineRule="exact"/>
        <w:ind w:firstLine="640" w:firstLineChars="200"/>
        <w:rPr>
          <w:rFonts w:ascii="仿宋_GB2312"/>
          <w:szCs w:val="32"/>
          <w:lang w:val="zh-CN"/>
        </w:rPr>
      </w:pPr>
      <w:r>
        <w:rPr>
          <w:rFonts w:hint="eastAsia" w:ascii="仿宋_GB2312"/>
          <w:szCs w:val="32"/>
          <w:lang w:val="zh-CN"/>
        </w:rPr>
        <w:t>项目资金的分配始终坚持一个原则：全力保证工程项目顺利推进，确保资金公平合理地分配到项目建设的各个环节，提升项目质量和资金使用效益，实现资金落到实处，强化执行过程监督。</w:t>
      </w:r>
    </w:p>
    <w:p>
      <w:pPr>
        <w:widowControl/>
        <w:tabs>
          <w:tab w:val="left" w:pos="2160"/>
        </w:tabs>
        <w:spacing w:line="560" w:lineRule="exact"/>
        <w:ind w:firstLine="640" w:firstLineChars="200"/>
        <w:jc w:val="left"/>
        <w:rPr>
          <w:rFonts w:ascii="黑体" w:hAnsi="宋体" w:eastAsia="黑体"/>
          <w:bCs/>
          <w:kern w:val="0"/>
          <w:position w:val="3"/>
          <w:szCs w:val="32"/>
          <w:lang w:val="zh-CN"/>
        </w:rPr>
      </w:pPr>
      <w:r>
        <w:rPr>
          <w:rFonts w:hint="eastAsia" w:ascii="黑体" w:hAnsi="宋体" w:eastAsia="黑体"/>
          <w:bCs/>
          <w:kern w:val="0"/>
          <w:position w:val="3"/>
          <w:szCs w:val="32"/>
          <w:lang w:val="zh-CN"/>
        </w:rPr>
        <w:t>二、评价实施</w:t>
      </w:r>
    </w:p>
    <w:p>
      <w:pPr>
        <w:adjustRightInd w:val="0"/>
        <w:snapToGrid w:val="0"/>
        <w:spacing w:line="560" w:lineRule="exact"/>
        <w:ind w:firstLine="642" w:firstLineChars="200"/>
        <w:rPr>
          <w:rFonts w:ascii="楷体" w:hAnsi="楷体" w:eastAsia="楷体"/>
          <w:b/>
          <w:szCs w:val="32"/>
          <w:lang w:val="zh-CN"/>
        </w:rPr>
      </w:pPr>
      <w:r>
        <w:rPr>
          <w:rFonts w:hint="eastAsia" w:ascii="楷体" w:hAnsi="楷体" w:eastAsia="楷体"/>
          <w:b/>
          <w:szCs w:val="32"/>
          <w:lang w:val="zh-CN"/>
        </w:rPr>
        <w:t>（</w:t>
      </w:r>
      <w:r>
        <w:rPr>
          <w:rFonts w:hint="eastAsia" w:ascii="楷体" w:hAnsi="楷体" w:eastAsia="楷体"/>
          <w:b/>
          <w:szCs w:val="32"/>
        </w:rPr>
        <w:t>一</w:t>
      </w:r>
      <w:r>
        <w:rPr>
          <w:rFonts w:hint="eastAsia" w:ascii="楷体" w:hAnsi="楷体" w:eastAsia="楷体"/>
          <w:b/>
          <w:szCs w:val="32"/>
          <w:lang w:val="zh-CN"/>
        </w:rPr>
        <w:t>）项目绩效目标。</w:t>
      </w:r>
    </w:p>
    <w:p>
      <w:pPr>
        <w:adjustRightInd w:val="0"/>
        <w:snapToGrid w:val="0"/>
        <w:spacing w:line="560" w:lineRule="exact"/>
        <w:ind w:firstLine="642" w:firstLineChars="200"/>
        <w:contextualSpacing/>
        <w:rPr>
          <w:rFonts w:ascii="仿宋_GB2312" w:hAnsi="仿宋_GB2312" w:cs="仿宋_GB2312"/>
          <w:b/>
          <w:color w:val="FF0000"/>
          <w:kern w:val="0"/>
          <w:szCs w:val="32"/>
          <w:shd w:val="clear" w:color="auto" w:fill="FFFFFF"/>
          <w:lang w:val="zh-CN"/>
        </w:rPr>
      </w:pPr>
      <w:r>
        <w:rPr>
          <w:rFonts w:hint="eastAsia" w:ascii="仿宋_GB2312" w:hAnsi="仿宋_GB2312" w:cs="仿宋_GB2312"/>
          <w:b/>
          <w:kern w:val="0"/>
          <w:szCs w:val="32"/>
          <w:shd w:val="clear" w:color="auto" w:fill="FFFFFF"/>
        </w:rPr>
        <w:t>1.</w:t>
      </w:r>
      <w:r>
        <w:rPr>
          <w:rFonts w:hint="eastAsia" w:ascii="仿宋_GB2312" w:hAnsi="仿宋_GB2312" w:cs="仿宋_GB2312"/>
          <w:b/>
          <w:kern w:val="0"/>
          <w:szCs w:val="32"/>
          <w:shd w:val="clear" w:color="auto" w:fill="FFFFFF"/>
          <w:lang w:val="zh-CN"/>
        </w:rPr>
        <w:t>项目主要内容</w:t>
      </w:r>
    </w:p>
    <w:p>
      <w:pPr>
        <w:spacing w:line="560" w:lineRule="exact"/>
        <w:ind w:firstLine="640" w:firstLineChars="200"/>
        <w:rPr>
          <w:szCs w:val="32"/>
        </w:rPr>
      </w:pPr>
      <w:r>
        <w:rPr>
          <w:rFonts w:hint="eastAsia" w:ascii="仿宋_GB2312" w:hAnsi="仿宋_GB2312" w:cs="仿宋_GB2312"/>
          <w:kern w:val="0"/>
          <w:szCs w:val="32"/>
          <w:shd w:val="clear" w:color="auto" w:fill="FFFFFF"/>
          <w:lang w:val="zh-CN"/>
        </w:rPr>
        <w:t>白龙水厂连通城区输水管网工程</w:t>
      </w:r>
      <w:r>
        <w:rPr>
          <w:rFonts w:hint="eastAsia" w:ascii="仿宋_GB2312" w:hAnsi="仿宋_GB2312" w:cs="仿宋_GB2312"/>
          <w:kern w:val="0"/>
          <w:szCs w:val="32"/>
          <w:shd w:val="clear" w:color="auto" w:fill="FFFFFF"/>
        </w:rPr>
        <w:t>概算约为1.33亿，项目</w:t>
      </w:r>
      <w:r>
        <w:rPr>
          <w:rFonts w:hint="eastAsia" w:ascii="仿宋_GB2312" w:hAnsi="仿宋_GB2312" w:cs="仿宋_GB2312"/>
          <w:kern w:val="0"/>
          <w:szCs w:val="32"/>
          <w:shd w:val="clear" w:color="auto" w:fill="FFFFFF"/>
          <w:lang w:val="zh-CN"/>
        </w:rPr>
        <w:t>建设主要内容为向中心城区输水按7.5万m3/d，安装管道总长12.</w:t>
      </w:r>
      <w:r>
        <w:rPr>
          <w:rFonts w:hint="eastAsia" w:ascii="仿宋_GB2312" w:hAnsi="仿宋_GB2312" w:cs="仿宋_GB2312"/>
          <w:kern w:val="0"/>
          <w:szCs w:val="32"/>
          <w:shd w:val="clear" w:color="auto" w:fill="FFFFFF"/>
        </w:rPr>
        <w:t>9</w:t>
      </w:r>
      <w:r>
        <w:rPr>
          <w:rFonts w:hint="eastAsia" w:ascii="仿宋_GB2312" w:hAnsi="仿宋_GB2312" w:cs="仿宋_GB2312"/>
          <w:kern w:val="0"/>
          <w:szCs w:val="32"/>
          <w:shd w:val="clear" w:color="auto" w:fill="FFFFFF"/>
          <w:lang w:val="zh-CN"/>
        </w:rPr>
        <w:t>km，其中陵宝路DN1000管道6km，利州西路DN800管道5.5km，西滨路-嘉陵江东岸DN800和DN1000管道1.4km。供水水质需达到国家现行的《生活饮用水卫生标准》(GB5749-2006)。</w:t>
      </w:r>
    </w:p>
    <w:p>
      <w:pPr>
        <w:adjustRightInd w:val="0"/>
        <w:snapToGrid w:val="0"/>
        <w:spacing w:line="560" w:lineRule="exact"/>
        <w:ind w:firstLine="642" w:firstLineChars="200"/>
        <w:contextualSpacing/>
        <w:rPr>
          <w:rFonts w:ascii="仿宋_GB2312" w:hAnsi="仿宋_GB2312" w:cs="仿宋_GB2312"/>
          <w:b/>
          <w:color w:val="FF0000"/>
          <w:kern w:val="0"/>
          <w:szCs w:val="32"/>
          <w:shd w:val="clear" w:color="auto" w:fill="FFFFFF"/>
          <w:lang w:val="zh-CN"/>
        </w:rPr>
      </w:pPr>
      <w:r>
        <w:rPr>
          <w:rFonts w:hint="eastAsia" w:ascii="仿宋_GB2312" w:hAnsi="仿宋_GB2312" w:cs="仿宋_GB2312"/>
          <w:b/>
          <w:szCs w:val="32"/>
        </w:rPr>
        <w:t>2.</w:t>
      </w:r>
      <w:r>
        <w:rPr>
          <w:rFonts w:hint="eastAsia" w:ascii="仿宋_GB2312" w:hAnsi="仿宋_GB2312" w:cs="仿宋_GB2312"/>
          <w:b/>
          <w:szCs w:val="32"/>
          <w:lang w:val="zh-CN"/>
        </w:rPr>
        <w:t>项目绩效目标</w:t>
      </w:r>
    </w:p>
    <w:p>
      <w:pPr>
        <w:spacing w:line="560" w:lineRule="exact"/>
        <w:ind w:firstLine="640" w:firstLineChars="200"/>
        <w:jc w:val="left"/>
        <w:rPr>
          <w:rFonts w:ascii="仿宋_GB2312"/>
          <w:b/>
          <w:color w:val="000000"/>
          <w:sz w:val="30"/>
          <w:szCs w:val="28"/>
          <w:lang w:val="zh-CN"/>
        </w:rPr>
      </w:pPr>
      <w:r>
        <w:rPr>
          <w:rFonts w:hint="eastAsia" w:ascii="仿宋_GB2312" w:hAnsi="仿宋_GB2312" w:cs="仿宋_GB2312"/>
          <w:szCs w:val="32"/>
        </w:rPr>
        <w:t>该项目中新建管网12.9公里，利用陵宝线和利州西路现有的管道8.2公里，不涉及改造管网，工程验收合格率及可行性研究规范性指标值必达100%。该项目建成后与</w:t>
      </w:r>
      <w:r>
        <w:rPr>
          <w:rFonts w:hint="eastAsia" w:ascii="仿宋_GB2312" w:hAnsi="仿宋_GB2312" w:cs="仿宋_GB2312"/>
          <w:szCs w:val="32"/>
          <w:lang w:val="zh-CN"/>
        </w:rPr>
        <w:t>中心城区现有的主供水管道</w:t>
      </w:r>
      <w:r>
        <w:rPr>
          <w:rFonts w:hint="eastAsia" w:ascii="仿宋_GB2312" w:hAnsi="仿宋_GB2312" w:cs="仿宋_GB2312"/>
          <w:szCs w:val="32"/>
        </w:rPr>
        <w:t>相连接以</w:t>
      </w:r>
      <w:r>
        <w:rPr>
          <w:rFonts w:hint="eastAsia" w:ascii="仿宋_GB2312" w:hAnsi="仿宋_GB2312" w:cs="仿宋_GB2312"/>
          <w:szCs w:val="32"/>
          <w:lang w:val="zh-CN"/>
        </w:rPr>
        <w:t>确保白龙水厂一期工程出厂水成功送往中心片区，</w:t>
      </w:r>
      <w:r>
        <w:rPr>
          <w:rFonts w:hint="eastAsia" w:ascii="仿宋_GB2312" w:hAnsi="仿宋_GB2312" w:cs="仿宋_GB2312"/>
          <w:szCs w:val="32"/>
        </w:rPr>
        <w:t>与西湾水厂形成双水源格局。不仅</w:t>
      </w:r>
      <w:r>
        <w:rPr>
          <w:rFonts w:hint="eastAsia" w:ascii="仿宋_GB2312" w:hAnsi="仿宋_GB2312" w:cs="仿宋_GB2312"/>
          <w:szCs w:val="32"/>
          <w:lang w:val="zh-CN"/>
        </w:rPr>
        <w:t>完善了广元市中心城区供水管网系统，</w:t>
      </w:r>
      <w:r>
        <w:rPr>
          <w:rFonts w:hint="eastAsia" w:ascii="仿宋_GB2312" w:hAnsi="仿宋_GB2312" w:cs="仿宋_GB2312"/>
          <w:szCs w:val="32"/>
        </w:rPr>
        <w:t>提高了城市供水安全性和可靠性，为老百姓带来了更便利、更安全的用水，也大大</w:t>
      </w:r>
      <w:r>
        <w:rPr>
          <w:rFonts w:hint="eastAsia" w:ascii="仿宋_GB2312" w:hAnsi="仿宋_GB2312" w:cs="仿宋_GB2312"/>
          <w:szCs w:val="32"/>
          <w:lang w:val="zh-CN"/>
        </w:rPr>
        <w:t>降低了供水管网漏损率</w:t>
      </w:r>
      <w:r>
        <w:rPr>
          <w:rFonts w:hint="eastAsia" w:ascii="仿宋_GB2312" w:hAnsi="仿宋_GB2312" w:cs="仿宋_GB2312"/>
          <w:szCs w:val="32"/>
        </w:rPr>
        <w:t>和运行成本</w:t>
      </w:r>
      <w:r>
        <w:rPr>
          <w:rFonts w:hint="eastAsia" w:ascii="仿宋_GB2312" w:hAnsi="仿宋_GB2312" w:cs="仿宋_GB2312"/>
          <w:szCs w:val="32"/>
          <w:lang w:val="zh-CN"/>
        </w:rPr>
        <w:t>，其降低水资源浪费率为</w:t>
      </w:r>
      <w:r>
        <w:rPr>
          <w:rFonts w:hint="eastAsia" w:ascii="仿宋_GB2312" w:hAnsi="仿宋_GB2312" w:cs="仿宋_GB2312"/>
          <w:szCs w:val="32"/>
        </w:rPr>
        <w:t xml:space="preserve">80%，降低运行成本率为30%。 </w:t>
      </w:r>
    </w:p>
    <w:p>
      <w:pPr>
        <w:spacing w:line="560" w:lineRule="exact"/>
        <w:ind w:firstLine="642" w:firstLineChars="200"/>
        <w:jc w:val="left"/>
        <w:rPr>
          <w:rFonts w:ascii="仿宋_GB2312" w:hAnsi="仿宋_GB2312" w:cs="仿宋_GB2312"/>
          <w:b/>
          <w:szCs w:val="32"/>
          <w:lang w:val="zh-CN"/>
        </w:rPr>
      </w:pPr>
      <w:r>
        <w:rPr>
          <w:rFonts w:hint="eastAsia" w:ascii="仿宋_GB2312" w:hAnsi="仿宋_GB2312" w:cs="仿宋_GB2312"/>
          <w:b/>
          <w:szCs w:val="32"/>
        </w:rPr>
        <w:t>3.</w:t>
      </w:r>
      <w:r>
        <w:rPr>
          <w:rFonts w:hint="eastAsia" w:ascii="仿宋_GB2312" w:hAnsi="仿宋_GB2312" w:cs="仿宋_GB2312"/>
          <w:b/>
          <w:szCs w:val="32"/>
          <w:lang w:val="zh-CN"/>
        </w:rPr>
        <w:t>资金申报相符性</w:t>
      </w:r>
    </w:p>
    <w:p>
      <w:pPr>
        <w:spacing w:line="560" w:lineRule="exact"/>
        <w:ind w:firstLine="640" w:firstLineChars="200"/>
        <w:jc w:val="left"/>
        <w:rPr>
          <w:rFonts w:ascii="仿宋_GB2312"/>
          <w:b/>
          <w:color w:val="000000"/>
          <w:sz w:val="30"/>
          <w:szCs w:val="28"/>
          <w:lang w:val="zh-CN"/>
        </w:rPr>
      </w:pPr>
      <w:r>
        <w:rPr>
          <w:rFonts w:hint="eastAsia" w:ascii="仿宋_GB2312" w:hAnsi="仿宋_GB2312" w:cs="仿宋_GB2312"/>
          <w:szCs w:val="32"/>
          <w:lang w:val="zh-CN"/>
        </w:rPr>
        <w:t>广元首创水务有限公司资金申报内容与具体实施内容相符、申报目标合理可行。</w:t>
      </w:r>
    </w:p>
    <w:p>
      <w:pPr>
        <w:adjustRightInd w:val="0"/>
        <w:snapToGrid w:val="0"/>
        <w:spacing w:line="560" w:lineRule="exact"/>
        <w:ind w:firstLine="642" w:firstLineChars="200"/>
        <w:rPr>
          <w:rFonts w:ascii="楷体" w:hAnsi="楷体" w:eastAsia="楷体" w:cs="仿宋_GB2312"/>
          <w:b/>
          <w:szCs w:val="32"/>
          <w:lang w:val="zh-CN"/>
        </w:rPr>
      </w:pPr>
      <w:r>
        <w:rPr>
          <w:rFonts w:hint="eastAsia" w:ascii="楷体" w:hAnsi="楷体" w:eastAsia="楷体" w:cs="仿宋_GB2312"/>
          <w:b/>
          <w:szCs w:val="32"/>
          <w:lang w:val="zh-CN"/>
        </w:rPr>
        <w:t>（</w:t>
      </w:r>
      <w:r>
        <w:rPr>
          <w:rFonts w:hint="eastAsia" w:ascii="楷体" w:hAnsi="楷体" w:eastAsia="楷体" w:cs="仿宋_GB2312"/>
          <w:b/>
          <w:szCs w:val="32"/>
        </w:rPr>
        <w:t>二</w:t>
      </w:r>
      <w:r>
        <w:rPr>
          <w:rFonts w:hint="eastAsia" w:ascii="楷体" w:hAnsi="楷体" w:eastAsia="楷体" w:cs="仿宋_GB2312"/>
          <w:b/>
          <w:szCs w:val="32"/>
          <w:lang w:val="zh-CN"/>
        </w:rPr>
        <w:t>）项目自评步骤及方法。</w:t>
      </w:r>
    </w:p>
    <w:p>
      <w:pPr>
        <w:spacing w:line="560" w:lineRule="exact"/>
        <w:ind w:firstLine="640" w:firstLineChars="200"/>
        <w:jc w:val="left"/>
        <w:rPr>
          <w:rFonts w:ascii="仿宋_GB2312" w:hAnsi="仿宋_GB2312" w:cs="仿宋_GB2312"/>
          <w:szCs w:val="32"/>
          <w:lang w:val="zh-CN"/>
        </w:rPr>
      </w:pPr>
      <w:r>
        <w:rPr>
          <w:rFonts w:hint="eastAsia" w:ascii="仿宋_GB2312" w:hAnsi="仿宋_GB2312" w:cs="仿宋_GB2312"/>
          <w:szCs w:val="32"/>
          <w:lang w:val="zh-CN"/>
        </w:rPr>
        <w:t>项目绩效自评</w:t>
      </w:r>
      <w:r>
        <w:rPr>
          <w:rFonts w:hint="eastAsia" w:ascii="仿宋_GB2312" w:hAnsi="仿宋_GB2312" w:cs="仿宋_GB2312"/>
          <w:szCs w:val="32"/>
        </w:rPr>
        <w:t>首先由广元首创水务公司项目管理部员工和财务人员共同草拟自评报告，分别报项目和财务分管领导审核、最后由公司总经理审阅后再报送至项目主管单位（市国资委）。</w:t>
      </w:r>
    </w:p>
    <w:p>
      <w:pPr>
        <w:widowControl/>
        <w:tabs>
          <w:tab w:val="left" w:pos="2160"/>
        </w:tabs>
        <w:spacing w:line="560" w:lineRule="exact"/>
        <w:ind w:firstLine="640" w:firstLineChars="200"/>
        <w:jc w:val="left"/>
        <w:rPr>
          <w:rFonts w:ascii="仿宋_GB2312" w:hAnsi="宋体"/>
          <w:b/>
          <w:szCs w:val="32"/>
          <w:lang w:val="zh-CN"/>
        </w:rPr>
      </w:pPr>
      <w:r>
        <w:rPr>
          <w:rFonts w:hint="eastAsia" w:ascii="黑体" w:hAnsi="宋体" w:eastAsia="黑体"/>
          <w:bCs/>
          <w:kern w:val="0"/>
          <w:position w:val="3"/>
          <w:szCs w:val="32"/>
          <w:lang w:val="zh-CN"/>
        </w:rPr>
        <w:t>三、绩效分析</w:t>
      </w:r>
      <w:r>
        <w:rPr>
          <w:rFonts w:hint="eastAsia" w:ascii="仿宋_GB2312" w:hAnsi="宋体"/>
          <w:b/>
          <w:szCs w:val="32"/>
          <w:lang w:val="zh-CN"/>
        </w:rPr>
        <w:tab/>
      </w:r>
    </w:p>
    <w:p>
      <w:pPr>
        <w:spacing w:line="560" w:lineRule="exact"/>
        <w:ind w:firstLine="640"/>
        <w:rPr>
          <w:rFonts w:ascii="楷体_GB2312" w:hAnsi="宋体" w:eastAsia="楷体_GB2312"/>
          <w:b/>
          <w:szCs w:val="32"/>
        </w:rPr>
      </w:pPr>
      <w:r>
        <w:rPr>
          <w:rFonts w:hint="eastAsia" w:ascii="楷体_GB2312" w:hAnsi="宋体" w:eastAsia="楷体_GB2312"/>
          <w:b/>
          <w:szCs w:val="32"/>
          <w:lang w:val="zh-CN"/>
        </w:rPr>
        <w:t>（一）</w:t>
      </w:r>
      <w:r>
        <w:rPr>
          <w:rFonts w:hint="eastAsia" w:ascii="楷体_GB2312" w:hAnsi="宋体" w:eastAsia="楷体_GB2312"/>
          <w:b/>
          <w:szCs w:val="32"/>
        </w:rPr>
        <w:t>通用指标</w:t>
      </w:r>
      <w:r>
        <w:rPr>
          <w:rFonts w:eastAsia="楷体_GB2312"/>
          <w:b/>
          <w:bCs/>
          <w:color w:val="000000"/>
          <w:kern w:val="0"/>
          <w:szCs w:val="32"/>
          <w:shd w:val="clear" w:color="auto" w:fill="FFFFFF"/>
          <w:lang w:val="zh-CN"/>
        </w:rPr>
        <w:t>绩效分析。</w:t>
      </w:r>
    </w:p>
    <w:p>
      <w:pPr>
        <w:spacing w:line="560" w:lineRule="exact"/>
        <w:ind w:firstLine="640"/>
        <w:rPr>
          <w:szCs w:val="32"/>
        </w:rPr>
      </w:pPr>
      <w:r>
        <w:rPr>
          <w:rFonts w:hint="eastAsia" w:ascii="仿宋_GB2312" w:hAnsi="楷体_GB2312" w:cs="楷体_GB2312"/>
          <w:b/>
          <w:szCs w:val="32"/>
        </w:rPr>
        <w:t>1.项目决策。</w:t>
      </w:r>
      <w:r>
        <w:rPr>
          <w:rFonts w:hint="eastAsia" w:ascii="仿宋_GB2312" w:hAnsi="仿宋_GB2312" w:cs="仿宋_GB2312"/>
          <w:szCs w:val="32"/>
        </w:rPr>
        <w:t>主城区供水管网及配套设施PPP项目从项目设立、包括项目过程中相应的调整等方面完全符合资金管理基本规范和决策程序相关的要求，在决策程序阶段严密周详；该项目在规划上符合广元市委市政府有关决策部署安排，在项目准备阶段开展了一系列的论证评估，对其必要性、前瞻性、合理性和可行性进行了充分的研究决策，该项目绩效目标设置科学可行；在资金投向方面，因该项目属于政府支持范围，符合财政事权支出责任划分规定，该项目资金投向与项目总体规划相匹配，无资金使用问题情况，未与其他同类项目或部门内部相关项目交叉重复。（自评18分）</w:t>
      </w:r>
    </w:p>
    <w:p>
      <w:pPr>
        <w:spacing w:line="560" w:lineRule="exact"/>
        <w:ind w:firstLine="640"/>
        <w:rPr>
          <w:szCs w:val="32"/>
        </w:rPr>
      </w:pPr>
      <w:r>
        <w:rPr>
          <w:rFonts w:hint="eastAsia" w:ascii="仿宋_GB2312" w:hAnsi="楷体_GB2312" w:cs="楷体_GB2312"/>
          <w:b/>
          <w:szCs w:val="32"/>
        </w:rPr>
        <w:t>2.项目管理。</w:t>
      </w:r>
      <w:r>
        <w:rPr>
          <w:rFonts w:hint="eastAsia"/>
          <w:szCs w:val="32"/>
        </w:rPr>
        <w:t>该项目在立项后，根据项目实际情况制定了专项管理制度，资金管理办法、安全管理制度等完善且详尽；在项目资金分配的因素选取、权重设置、区域分布上，项目管理、审批方面完全符合管理要求；在实施过程中做到管资金、项目、政策，管绩效，项目绩效监管按要求开展，对下指导有力有效。</w:t>
      </w:r>
      <w:r>
        <w:rPr>
          <w:rFonts w:hint="eastAsia" w:ascii="仿宋_GB2312" w:hAnsi="仿宋_GB2312" w:cs="仿宋_GB2312"/>
          <w:szCs w:val="32"/>
        </w:rPr>
        <w:t>（自评18分）</w:t>
      </w:r>
    </w:p>
    <w:p>
      <w:pPr>
        <w:spacing w:line="560" w:lineRule="exact"/>
        <w:ind w:firstLine="640"/>
        <w:rPr>
          <w:szCs w:val="32"/>
        </w:rPr>
      </w:pPr>
      <w:r>
        <w:rPr>
          <w:rFonts w:hint="eastAsia" w:ascii="仿宋_GB2312" w:hAnsi="楷体_GB2312" w:cs="楷体_GB2312"/>
          <w:b/>
          <w:szCs w:val="32"/>
        </w:rPr>
        <w:t>3.项目实施。</w:t>
      </w:r>
      <w:r>
        <w:rPr>
          <w:rFonts w:hint="eastAsia"/>
          <w:szCs w:val="32"/>
        </w:rPr>
        <w:t>该项目资金不涉及财政拨付资金，在专项资金落实方面</w:t>
      </w:r>
      <w:r>
        <w:rPr>
          <w:rFonts w:hint="eastAsia" w:ascii="楷体_GB2312" w:hAnsi="楷体_GB2312" w:eastAsia="楷体_GB2312" w:cs="楷体_GB2312"/>
          <w:szCs w:val="32"/>
        </w:rPr>
        <w:t>做到</w:t>
      </w:r>
      <w:r>
        <w:rPr>
          <w:rFonts w:hint="eastAsia"/>
          <w:szCs w:val="32"/>
        </w:rPr>
        <w:t>了及时到位，地方配套到位情况良好；该项目资金使用、拨付均符合国家财经法规、财务管理制度及有关专项资金管理制度办法规定和审批程序，不存在超范围、超标准、超进度使用专项资金的情况，不存在资金损失浪费、长期沉淀、截留、挤占、挪用、虚列支出等情况，项目实施严格遵守相关法律法规。</w:t>
      </w:r>
      <w:r>
        <w:rPr>
          <w:rFonts w:hint="eastAsia" w:ascii="仿宋_GB2312" w:hAnsi="仿宋_GB2312" w:cs="仿宋_GB2312"/>
          <w:szCs w:val="32"/>
        </w:rPr>
        <w:t>（自评9分）</w:t>
      </w:r>
    </w:p>
    <w:p>
      <w:pPr>
        <w:spacing w:line="560" w:lineRule="exact"/>
        <w:ind w:firstLine="640"/>
        <w:rPr>
          <w:szCs w:val="32"/>
        </w:rPr>
      </w:pPr>
      <w:r>
        <w:rPr>
          <w:rFonts w:hint="eastAsia" w:ascii="仿宋_GB2312"/>
          <w:b/>
          <w:szCs w:val="32"/>
        </w:rPr>
        <w:t>4.项目结果。</w:t>
      </w:r>
      <w:r>
        <w:rPr>
          <w:rFonts w:hint="eastAsia"/>
          <w:szCs w:val="32"/>
        </w:rPr>
        <w:t>该项目完成预期目标，实施结果与绩效目标相匹配；项目实际完成时间与计划完成时间相比在可控范围内。</w:t>
      </w:r>
      <w:r>
        <w:rPr>
          <w:rFonts w:hint="eastAsia" w:ascii="仿宋_GB2312" w:hAnsi="仿宋_GB2312" w:cs="仿宋_GB2312"/>
          <w:szCs w:val="32"/>
        </w:rPr>
        <w:t>（自评9分）</w:t>
      </w:r>
    </w:p>
    <w:p>
      <w:pPr>
        <w:spacing w:line="560" w:lineRule="exact"/>
        <w:ind w:firstLine="642" w:firstLineChars="200"/>
        <w:rPr>
          <w:rFonts w:ascii="楷体_GB2312" w:hAnsi="楷体_GB2312" w:eastAsia="楷体_GB2312" w:cs="楷体_GB2312"/>
          <w:b/>
          <w:szCs w:val="32"/>
          <w:lang w:val="zh-CN"/>
        </w:rPr>
      </w:pPr>
      <w:r>
        <w:rPr>
          <w:rFonts w:hint="eastAsia" w:ascii="楷体_GB2312" w:hAnsi="宋体" w:eastAsia="楷体_GB2312"/>
          <w:b/>
          <w:szCs w:val="32"/>
          <w:lang w:val="zh-CN"/>
        </w:rPr>
        <w:t>（二）</w:t>
      </w:r>
      <w:r>
        <w:rPr>
          <w:rFonts w:hint="eastAsia" w:ascii="楷体_GB2312" w:hAnsi="宋体" w:eastAsia="楷体_GB2312"/>
          <w:b/>
          <w:szCs w:val="32"/>
        </w:rPr>
        <w:t>专用指标</w:t>
      </w:r>
      <w:r>
        <w:rPr>
          <w:rFonts w:eastAsia="楷体_GB2312"/>
          <w:b/>
          <w:bCs/>
          <w:color w:val="000000"/>
          <w:kern w:val="0"/>
          <w:szCs w:val="32"/>
          <w:shd w:val="clear" w:color="auto" w:fill="FFFFFF"/>
          <w:lang w:val="zh-CN"/>
        </w:rPr>
        <w:t>绩效分析。</w:t>
      </w:r>
    </w:p>
    <w:p>
      <w:pPr>
        <w:spacing w:line="560" w:lineRule="exact"/>
        <w:ind w:firstLine="640" w:firstLineChars="200"/>
        <w:rPr>
          <w:rFonts w:ascii="楷体_GB2312" w:hAnsi="楷体_GB2312" w:eastAsia="楷体_GB2312" w:cs="楷体_GB2312"/>
          <w:szCs w:val="32"/>
        </w:rPr>
      </w:pPr>
      <w:r>
        <w:rPr>
          <w:rFonts w:hint="eastAsia"/>
          <w:szCs w:val="32"/>
        </w:rPr>
        <w:t>该证明资金分配较为均衡合理。</w:t>
      </w:r>
      <w:r>
        <w:rPr>
          <w:rFonts w:hint="eastAsia"/>
          <w:szCs w:val="32"/>
          <w:lang w:val="zh-CN"/>
        </w:rPr>
        <w:t>其中，区域均衡情况得到改善、区域间差距缩小；资金实际支持对象符合管理要求，符合支持对象范围；资金实际补贴标准符合资金管理办法规定的补助标准，</w:t>
      </w:r>
      <w:r>
        <w:rPr>
          <w:rFonts w:hint="eastAsia"/>
          <w:szCs w:val="32"/>
        </w:rPr>
        <w:t>且</w:t>
      </w:r>
      <w:r>
        <w:rPr>
          <w:rFonts w:hint="eastAsia"/>
          <w:szCs w:val="32"/>
          <w:lang w:val="zh-CN"/>
        </w:rPr>
        <w:t>及时按标准兑现；资金涉及相关受益群体、支持对象的满意度调查</w:t>
      </w:r>
      <w:r>
        <w:rPr>
          <w:rFonts w:hint="eastAsia"/>
          <w:szCs w:val="32"/>
        </w:rPr>
        <w:t>较为满意。</w:t>
      </w:r>
      <w:r>
        <w:rPr>
          <w:rFonts w:hint="eastAsia" w:ascii="仿宋_GB2312" w:hAnsi="仿宋_GB2312" w:cs="仿宋_GB2312"/>
          <w:szCs w:val="32"/>
        </w:rPr>
        <w:t>（自评29分）</w:t>
      </w:r>
    </w:p>
    <w:p>
      <w:pPr>
        <w:spacing w:line="560" w:lineRule="exact"/>
        <w:ind w:firstLine="640"/>
        <w:rPr>
          <w:rFonts w:eastAsia="楷体_GB2312"/>
          <w:b/>
          <w:bCs/>
          <w:color w:val="000000"/>
          <w:kern w:val="0"/>
          <w:szCs w:val="32"/>
          <w:shd w:val="clear" w:color="auto" w:fill="FFFFFF"/>
          <w:lang w:val="zh-CN"/>
        </w:rPr>
      </w:pPr>
      <w:r>
        <w:rPr>
          <w:rFonts w:hint="eastAsia" w:ascii="楷体_GB2312" w:hAnsi="宋体" w:eastAsia="楷体_GB2312"/>
          <w:b/>
          <w:szCs w:val="32"/>
          <w:lang w:val="zh-CN"/>
        </w:rPr>
        <w:t>（三）</w:t>
      </w:r>
      <w:r>
        <w:rPr>
          <w:rFonts w:hint="eastAsia" w:ascii="楷体_GB2312" w:hAnsi="宋体" w:eastAsia="楷体_GB2312"/>
          <w:b/>
          <w:szCs w:val="32"/>
        </w:rPr>
        <w:t>个性指标</w:t>
      </w:r>
      <w:r>
        <w:rPr>
          <w:rFonts w:eastAsia="楷体_GB2312"/>
          <w:b/>
          <w:bCs/>
          <w:color w:val="000000"/>
          <w:kern w:val="0"/>
          <w:szCs w:val="32"/>
          <w:shd w:val="clear" w:color="auto" w:fill="FFFFFF"/>
          <w:lang w:val="zh-CN"/>
        </w:rPr>
        <w:t>绩效分析。</w:t>
      </w:r>
    </w:p>
    <w:p>
      <w:pPr>
        <w:spacing w:line="560" w:lineRule="exact"/>
        <w:ind w:firstLine="640"/>
        <w:rPr>
          <w:szCs w:val="32"/>
        </w:rPr>
      </w:pPr>
      <w:r>
        <w:rPr>
          <w:rFonts w:hint="eastAsia"/>
          <w:szCs w:val="32"/>
        </w:rPr>
        <w:t>该项目属于水利基础设施建设项目，在项目实施过程中，针对发现出的部分质量相关问题，已督促相关单位进行整改，目前项目已完工进入运营阶段；对照本项目实施方案和实施计划，支撑本项目整体推进的各类要素保障齐备，且该项目实施过程中吸纳和解决了部分农村人口的就业问题</w:t>
      </w:r>
      <w:r>
        <w:rPr>
          <w:rFonts w:hint="eastAsia"/>
          <w:szCs w:val="32"/>
          <w:lang w:val="zh-CN"/>
        </w:rPr>
        <w:t>。</w:t>
      </w:r>
      <w:r>
        <w:rPr>
          <w:rFonts w:hint="eastAsia" w:ascii="仿宋_GB2312" w:hAnsi="仿宋_GB2312" w:cs="仿宋_GB2312"/>
          <w:szCs w:val="32"/>
        </w:rPr>
        <w:t>（自评13分）</w:t>
      </w:r>
    </w:p>
    <w:p>
      <w:pPr>
        <w:widowControl/>
        <w:tabs>
          <w:tab w:val="left" w:pos="2160"/>
        </w:tabs>
        <w:spacing w:line="560" w:lineRule="exact"/>
        <w:ind w:firstLine="640" w:firstLineChars="200"/>
        <w:jc w:val="left"/>
        <w:rPr>
          <w:rFonts w:ascii="黑体" w:hAnsi="宋体" w:eastAsia="黑体"/>
          <w:bCs/>
          <w:kern w:val="0"/>
          <w:position w:val="3"/>
          <w:szCs w:val="32"/>
          <w:lang w:val="zh-CN"/>
        </w:rPr>
      </w:pPr>
      <w:r>
        <w:rPr>
          <w:rFonts w:hint="eastAsia" w:ascii="黑体" w:hAnsi="宋体" w:eastAsia="黑体"/>
          <w:bCs/>
          <w:kern w:val="0"/>
          <w:position w:val="3"/>
          <w:szCs w:val="32"/>
          <w:lang w:val="zh-CN"/>
        </w:rPr>
        <w:t>四、评价结论</w:t>
      </w:r>
    </w:p>
    <w:p>
      <w:pPr>
        <w:spacing w:line="560" w:lineRule="exact"/>
        <w:ind w:firstLine="640" w:firstLineChars="200"/>
        <w:jc w:val="left"/>
        <w:rPr>
          <w:rFonts w:ascii="仿宋_GB2312" w:hAnsi="仿宋_GB2312" w:cs="仿宋_GB2312"/>
          <w:szCs w:val="32"/>
          <w:lang w:val="zh-CN"/>
        </w:rPr>
      </w:pPr>
      <w:r>
        <w:rPr>
          <w:rFonts w:hint="eastAsia" w:ascii="仿宋_GB2312" w:hAnsi="仿宋_GB2312" w:cs="仿宋_GB2312"/>
          <w:szCs w:val="32"/>
        </w:rPr>
        <w:t>主城区供排水PPP</w:t>
      </w:r>
      <w:r>
        <w:rPr>
          <w:rFonts w:hint="eastAsia" w:ascii="仿宋_GB2312" w:hAnsi="仿宋_GB2312" w:cs="仿宋_GB2312"/>
          <w:szCs w:val="32"/>
          <w:lang w:val="zh-CN"/>
        </w:rPr>
        <w:t>项目在施工建设、施工管理、</w:t>
      </w:r>
      <w:r>
        <w:rPr>
          <w:rFonts w:hint="eastAsia" w:ascii="仿宋_GB2312" w:hAnsi="仿宋_GB2312" w:cs="仿宋_GB2312"/>
          <w:szCs w:val="32"/>
        </w:rPr>
        <w:t>资金管理</w:t>
      </w:r>
      <w:r>
        <w:rPr>
          <w:rFonts w:hint="eastAsia" w:ascii="仿宋_GB2312" w:hAnsi="仿宋_GB2312" w:cs="仿宋_GB2312"/>
          <w:szCs w:val="32"/>
          <w:lang w:val="zh-CN"/>
        </w:rPr>
        <w:t>以及项目审计等方面均未出现各类违法违规问题。</w:t>
      </w:r>
    </w:p>
    <w:p>
      <w:pPr>
        <w:widowControl/>
        <w:tabs>
          <w:tab w:val="left" w:pos="2160"/>
        </w:tabs>
        <w:spacing w:line="560" w:lineRule="exact"/>
        <w:ind w:firstLine="640" w:firstLineChars="200"/>
        <w:jc w:val="left"/>
        <w:rPr>
          <w:rFonts w:ascii="黑体" w:hAnsi="宋体" w:eastAsia="黑体"/>
          <w:bCs/>
          <w:kern w:val="0"/>
          <w:position w:val="3"/>
          <w:szCs w:val="32"/>
          <w:lang w:val="zh-CN"/>
        </w:rPr>
      </w:pPr>
      <w:r>
        <w:rPr>
          <w:rFonts w:hint="eastAsia" w:ascii="黑体" w:hAnsi="宋体" w:eastAsia="黑体"/>
          <w:bCs/>
          <w:kern w:val="0"/>
          <w:position w:val="3"/>
          <w:szCs w:val="32"/>
          <w:lang w:val="zh-CN"/>
        </w:rPr>
        <w:t>五、存在主要问题</w:t>
      </w:r>
    </w:p>
    <w:p>
      <w:pPr>
        <w:widowControl/>
        <w:tabs>
          <w:tab w:val="left" w:pos="2160"/>
        </w:tabs>
        <w:spacing w:line="560" w:lineRule="exact"/>
        <w:ind w:firstLine="640" w:firstLineChars="200"/>
        <w:jc w:val="left"/>
        <w:rPr>
          <w:rFonts w:ascii="黑体" w:hAnsi="黑体" w:eastAsia="黑体" w:cs="黑体"/>
          <w:szCs w:val="32"/>
        </w:rPr>
      </w:pPr>
      <w:r>
        <w:rPr>
          <w:rFonts w:hint="eastAsia" w:ascii="仿宋_GB2312" w:hAnsi="仿宋_GB2312" w:cs="仿宋_GB2312"/>
          <w:kern w:val="0"/>
          <w:szCs w:val="32"/>
        </w:rPr>
        <w:t>无。</w:t>
      </w:r>
    </w:p>
    <w:p>
      <w:pPr>
        <w:widowControl/>
        <w:tabs>
          <w:tab w:val="left" w:pos="2160"/>
        </w:tabs>
        <w:spacing w:line="560" w:lineRule="exact"/>
        <w:ind w:firstLine="640" w:firstLineChars="200"/>
        <w:jc w:val="left"/>
        <w:rPr>
          <w:rFonts w:ascii="黑体" w:hAnsi="宋体" w:eastAsia="黑体"/>
          <w:bCs/>
          <w:kern w:val="0"/>
          <w:position w:val="3"/>
          <w:szCs w:val="32"/>
          <w:lang w:val="zh-CN"/>
        </w:rPr>
      </w:pPr>
      <w:r>
        <w:rPr>
          <w:rFonts w:hint="eastAsia" w:ascii="黑体" w:hAnsi="宋体" w:eastAsia="黑体"/>
          <w:bCs/>
          <w:kern w:val="0"/>
          <w:position w:val="3"/>
          <w:szCs w:val="32"/>
          <w:lang w:val="zh-CN"/>
        </w:rPr>
        <w:t>六、改进建议</w:t>
      </w:r>
    </w:p>
    <w:p>
      <w:pPr>
        <w:spacing w:line="560" w:lineRule="exact"/>
        <w:ind w:firstLine="640" w:firstLineChars="200"/>
        <w:jc w:val="left"/>
        <w:rPr>
          <w:rFonts w:ascii="仿宋_GB2312" w:hAnsi="仿宋_GB2312" w:cs="仿宋_GB2312"/>
          <w:szCs w:val="32"/>
          <w:lang w:val="zh-CN"/>
        </w:rPr>
      </w:pPr>
      <w:r>
        <w:rPr>
          <w:rFonts w:hint="eastAsia" w:ascii="仿宋_GB2312" w:hAnsi="仿宋_GB2312" w:cs="仿宋_GB2312"/>
          <w:szCs w:val="32"/>
        </w:rPr>
        <w:t>无</w:t>
      </w:r>
      <w:r>
        <w:rPr>
          <w:rFonts w:hint="eastAsia" w:ascii="仿宋_GB2312" w:hAnsi="仿宋_GB2312" w:cs="仿宋_GB2312"/>
          <w:szCs w:val="32"/>
          <w:lang w:val="zh-CN"/>
        </w:rPr>
        <w:t>。</w:t>
      </w:r>
    </w:p>
    <w:p>
      <w:pPr>
        <w:pStyle w:val="2"/>
        <w:spacing w:before="93"/>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tabs>
          <w:tab w:val="center" w:pos="4153"/>
          <w:tab w:val="right" w:pos="8306"/>
        </w:tabs>
        <w:autoSpaceDE w:val="0"/>
        <w:autoSpaceDN w:val="0"/>
        <w:adjustRightInd w:val="0"/>
        <w:spacing w:line="560" w:lineRule="exact"/>
        <w:jc w:val="center"/>
        <w:rPr>
          <w:rFonts w:hint="eastAsia" w:ascii="方正小标宋简体" w:hAnsi="方正小标宋_GBK" w:eastAsia="方正小标宋简体" w:cs="方正小标宋_GBK"/>
          <w:kern w:val="0"/>
          <w:sz w:val="44"/>
          <w:szCs w:val="44"/>
        </w:rPr>
      </w:pPr>
    </w:p>
    <w:p>
      <w:pPr>
        <w:tabs>
          <w:tab w:val="center" w:pos="4153"/>
          <w:tab w:val="right" w:pos="8306"/>
        </w:tabs>
        <w:autoSpaceDE w:val="0"/>
        <w:autoSpaceDN w:val="0"/>
        <w:adjustRightInd w:val="0"/>
        <w:spacing w:line="560" w:lineRule="exact"/>
        <w:jc w:val="center"/>
        <w:rPr>
          <w:rFonts w:ascii="方正小标宋简体" w:hAnsi="方正小标宋_GBK" w:eastAsia="方正小标宋简体" w:cs="方正小标宋_GBK"/>
          <w:kern w:val="0"/>
          <w:sz w:val="44"/>
          <w:szCs w:val="44"/>
        </w:rPr>
      </w:pPr>
      <w:r>
        <w:rPr>
          <w:rFonts w:hint="eastAsia" w:ascii="方正小标宋简体" w:hAnsi="方正小标宋_GBK" w:eastAsia="方正小标宋简体" w:cs="方正小标宋_GBK"/>
          <w:kern w:val="0"/>
          <w:sz w:val="44"/>
          <w:szCs w:val="44"/>
        </w:rPr>
        <w:t>关于</w:t>
      </w:r>
      <w:r>
        <w:rPr>
          <w:rFonts w:hint="eastAsia" w:ascii="方正小标宋简体" w:hAnsi="方正小标宋_GBK" w:eastAsia="方正小标宋简体" w:cs="方正小标宋_GBK"/>
          <w:kern w:val="0"/>
          <w:sz w:val="44"/>
          <w:szCs w:val="44"/>
          <w:lang w:val="zh-CN"/>
        </w:rPr>
        <w:t>万源21号</w:t>
      </w:r>
      <w:r>
        <w:rPr>
          <w:rFonts w:hint="eastAsia" w:ascii="方正小标宋简体" w:hAnsi="方正小标宋_GBK" w:eastAsia="方正小标宋简体" w:cs="方正小标宋_GBK"/>
          <w:kern w:val="0"/>
          <w:sz w:val="44"/>
          <w:szCs w:val="44"/>
        </w:rPr>
        <w:t>道路工程的</w:t>
      </w:r>
      <w:r>
        <w:rPr>
          <w:rFonts w:hint="eastAsia" w:ascii="方正小标宋简体" w:hAnsi="方正小标宋_GBK" w:eastAsia="方正小标宋简体" w:cs="方正小标宋_GBK"/>
          <w:sz w:val="44"/>
          <w:szCs w:val="44"/>
        </w:rPr>
        <w:t>绩效评价报告</w:t>
      </w:r>
    </w:p>
    <w:p>
      <w:pPr>
        <w:pStyle w:val="38"/>
        <w:spacing w:line="578" w:lineRule="exact"/>
        <w:ind w:left="640" w:firstLine="640"/>
        <w:jc w:val="center"/>
        <w:rPr>
          <w:rFonts w:ascii="宋体" w:hAnsi="宋体"/>
          <w:color w:val="auto"/>
          <w:kern w:val="2"/>
          <w:sz w:val="32"/>
          <w:szCs w:val="32"/>
        </w:rPr>
      </w:pPr>
    </w:p>
    <w:p>
      <w:pPr>
        <w:adjustRightInd w:val="0"/>
        <w:snapToGrid w:val="0"/>
        <w:spacing w:line="578"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78" w:lineRule="exact"/>
        <w:ind w:firstLine="642" w:firstLineChars="200"/>
        <w:rPr>
          <w:rFonts w:ascii="黑体" w:hAnsi="宋体" w:eastAsia="黑体"/>
          <w:lang w:val="zh-CN"/>
        </w:rPr>
      </w:pPr>
      <w:r>
        <w:rPr>
          <w:rFonts w:hint="eastAsia" w:ascii="楷体_GB2312" w:hAnsi="宋体" w:eastAsia="楷体_GB2312"/>
          <w:b/>
          <w:lang w:val="zh-CN"/>
        </w:rPr>
        <w:t>（一）设立背景及基本情况。</w:t>
      </w:r>
      <w:r>
        <w:rPr>
          <w:rFonts w:hint="eastAsia" w:ascii="仿宋_GB2312" w:hAnsi="仿宋_GB2312" w:cs="仿宋_GB2312"/>
          <w:kern w:val="0"/>
          <w:shd w:val="clear" w:color="auto" w:fill="FFFFFF"/>
        </w:rPr>
        <w:t>按照市委市政府城市发展规划,2009年4月正式启动了万源新区建设。2009 年6月10日</w:t>
      </w:r>
      <w:r>
        <w:rPr>
          <w:rFonts w:ascii="仿宋_GB2312" w:hAnsi="仿宋_GB2312" w:cs="仿宋_GB2312"/>
          <w:kern w:val="0"/>
          <w:shd w:val="clear" w:color="auto" w:fill="FFFFFF"/>
        </w:rPr>
        <w:t>，</w:t>
      </w:r>
      <w:r>
        <w:rPr>
          <w:rFonts w:hint="eastAsia" w:ascii="仿宋_GB2312" w:hAnsi="仿宋_GB2312" w:cs="仿宋_GB2312"/>
          <w:kern w:val="0"/>
          <w:shd w:val="clear" w:color="auto" w:fill="FFFFFF"/>
        </w:rPr>
        <w:t>利州区万源村农村路网建设项目经广元市发展和改革委员会《关于利州区万源村农村路网建设项目可行性研究报告及立项的批复》（广发改投资（2009）139 号）、城乡规划委员会第（2016）第三期会议纪要及广府阅〔2016〕8号会议纪要批准同意建设。建设内容及规模为新建道路 23 条，总长17237 米，配套建设雨污管网、路灯等工程，修建南河 4 号桥长240米、宽23米，南河6号桥长250米、宽23米，以及建设用地征地和拆迁安置等。市人民政府《研究土地管理及规划建设工作会商会纪要》（广府阅〔2016〕8号）会议议定万源小南山排洪渠项目与万源 21 号道路统一规划，由市投资控股(集团)有限公司（现更名为广元市投资发展集团有限公司）作为业主统一实施，项目概（估）算总投资210000万元，资金来源为自筹及其他渠道。业主主管部门为市国资委，负责监督项目建设是否按计划进度安全有序推进</w:t>
      </w:r>
      <w:r>
        <w:rPr>
          <w:rFonts w:hint="eastAsia" w:ascii="仿宋_GB2312" w:hAnsi="仿宋_GB2312" w:cs="仿宋_GB2312"/>
          <w:kern w:val="0"/>
          <w:shd w:val="clear" w:color="auto" w:fill="FFFFFF"/>
          <w:lang w:val="zh-CN"/>
        </w:rPr>
        <w:t>。</w:t>
      </w:r>
    </w:p>
    <w:p>
      <w:pPr>
        <w:spacing w:line="560" w:lineRule="exact"/>
        <w:ind w:firstLine="640"/>
        <w:rPr>
          <w:rFonts w:ascii="仿宋_GB2312" w:hAnsi="仿宋_GB2312" w:cs="仿宋_GB2312"/>
          <w:kern w:val="0"/>
          <w:shd w:val="clear" w:color="auto" w:fill="FFFFFF"/>
        </w:rPr>
      </w:pPr>
      <w:r>
        <w:rPr>
          <w:rFonts w:hint="eastAsia" w:ascii="楷体_GB2312" w:hAnsi="宋体" w:eastAsia="楷体_GB2312"/>
          <w:b/>
          <w:lang w:val="zh-CN"/>
        </w:rPr>
        <w:t>（二）</w:t>
      </w:r>
      <w:r>
        <w:rPr>
          <w:rFonts w:ascii="楷体_GB2312" w:hAnsi="宋体" w:eastAsia="楷体_GB2312"/>
          <w:b/>
        </w:rPr>
        <w:t>实施目的支持方向</w:t>
      </w:r>
      <w:r>
        <w:rPr>
          <w:rFonts w:hint="eastAsia" w:ascii="楷体_GB2312" w:hAnsi="宋体" w:eastAsia="楷体_GB2312"/>
          <w:b/>
        </w:rPr>
        <w:t>。</w:t>
      </w:r>
      <w:r>
        <w:rPr>
          <w:rFonts w:hint="eastAsia" w:ascii="仿宋" w:hAnsi="仿宋" w:eastAsia="仿宋" w:cs="仿宋"/>
        </w:rPr>
        <w:t>项目管理制度健全，项目建设管理规范，并参</w:t>
      </w:r>
      <w:r>
        <w:rPr>
          <w:rFonts w:hint="eastAsia" w:ascii="仿宋_GB2312"/>
        </w:rPr>
        <w:t>照国家基建有关制度制定了《项目核算制度》、《项目财务管理办法》、《项目资金管理办法》等相关制度并严格执行。除</w:t>
      </w:r>
      <w:r>
        <w:rPr>
          <w:rFonts w:hint="eastAsia" w:ascii="仿宋_GB2312" w:hAnsi="仿宋_GB2312" w:cs="仿宋_GB2312"/>
          <w:kern w:val="0"/>
          <w:shd w:val="clear" w:color="auto" w:fill="FFFFFF"/>
        </w:rPr>
        <w:t>财政安排预算资金外，不足部分的万源农村路网建设项目资金通过债务解决已全部录入财政部隐性债务系统锁定。至目前，已完成建设任务，各项目于2014到2021年移交有关部门管理。电力通道建设对推进广元市政基础设施建设电力运输进程，提高为社会公众服务质量、促进社会经济增长和解决城市就业问题及城市生态环境的建设有着重要的意义；道路建设为市民出行提供了交通便利，缓解了市城区周边交通拥堵、改善城乡居民的人居环境和城市交通通行状况、促进社会经济增长和解决城市就业问题及城市生态环境的建设有着重要的意义；征拆安置对拓展城市空间，推进广元市政基础设施建设进程，提高为社会公众服务质量，改善城乡居民的人居环境、促进社会经济增长和解决城市就业问题有着重要的意义。各项目的建设为我市发展规划提供了先决条件。</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rPr>
      </w:pPr>
      <w:r>
        <w:rPr>
          <w:rFonts w:hint="eastAsia" w:ascii="楷体_GB2312" w:hAnsi="宋体" w:eastAsia="楷体_GB2312"/>
          <w:b/>
          <w:lang w:val="zh-CN"/>
        </w:rPr>
        <w:t>（三）</w:t>
      </w:r>
      <w:r>
        <w:rPr>
          <w:rFonts w:ascii="楷体_GB2312" w:hAnsi="宋体" w:eastAsia="楷体_GB2312"/>
          <w:b/>
        </w:rPr>
        <w:t>预算安排及分配管理</w:t>
      </w:r>
      <w:r>
        <w:rPr>
          <w:rFonts w:hint="eastAsia" w:ascii="楷体_GB2312" w:hAnsi="宋体" w:eastAsia="楷体_GB2312"/>
          <w:b/>
          <w:lang w:val="zh-CN"/>
        </w:rPr>
        <w:t>。</w:t>
      </w:r>
      <w:r>
        <w:rPr>
          <w:rFonts w:hint="eastAsia" w:ascii="仿宋_GB2312" w:hAnsi="仿宋_GB2312" w:cs="仿宋_GB2312"/>
          <w:kern w:val="0"/>
          <w:shd w:val="clear" w:color="auto" w:fill="FFFFFF"/>
        </w:rPr>
        <w:t>2023年末，我公司根据万源农村路网建设完成投资情况及资金急需情况，向市国资委报送年度资金需求计划，市财政局根据当年预算安排情况，拟定年度基建项目资金计划，项目年度计划资金安排3000万元，市财政局同时下达指标文件。资金分配考虑缓急情况和建设进度，</w:t>
      </w:r>
      <w:r>
        <w:rPr>
          <w:rFonts w:hint="eastAsia" w:ascii="仿宋_GB2312" w:hAnsi="仿宋_GB2312" w:cs="仿宋_GB2312"/>
          <w:kern w:val="0"/>
          <w:shd w:val="clear" w:color="auto" w:fill="FFFFFF"/>
          <w:lang w:val="zh-CN"/>
        </w:rPr>
        <w:t>所有项目点实施完成</w:t>
      </w:r>
      <w:r>
        <w:rPr>
          <w:rFonts w:hint="eastAsia" w:ascii="仿宋_GB2312" w:hAnsi="仿宋_GB2312" w:cs="仿宋_GB2312"/>
          <w:kern w:val="0"/>
          <w:shd w:val="clear" w:color="auto" w:fill="FFFFFF"/>
        </w:rPr>
        <w:t>后应予支付资金，项目建设情况与</w:t>
      </w:r>
      <w:r>
        <w:rPr>
          <w:rFonts w:hint="eastAsia" w:ascii="仿宋_GB2312" w:hAnsi="仿宋_GB2312" w:cs="仿宋_GB2312"/>
          <w:kern w:val="0"/>
          <w:shd w:val="clear" w:color="auto" w:fill="FFFFFF"/>
          <w:lang w:val="zh-CN"/>
        </w:rPr>
        <w:t>计划情况</w:t>
      </w:r>
      <w:r>
        <w:rPr>
          <w:rFonts w:hint="eastAsia" w:ascii="仿宋_GB2312" w:hAnsi="仿宋_GB2312" w:cs="仿宋_GB2312"/>
          <w:kern w:val="0"/>
          <w:shd w:val="clear" w:color="auto" w:fill="FFFFFF"/>
        </w:rPr>
        <w:t>一致并保质保量</w:t>
      </w:r>
      <w:r>
        <w:rPr>
          <w:rFonts w:hint="eastAsia" w:ascii="仿宋_GB2312" w:hAnsi="仿宋_GB2312" w:cs="仿宋_GB2312"/>
          <w:kern w:val="0"/>
          <w:shd w:val="clear" w:color="auto" w:fill="FFFFFF"/>
          <w:lang w:val="zh-CN"/>
        </w:rPr>
        <w:t>。</w:t>
      </w:r>
    </w:p>
    <w:p>
      <w:pPr>
        <w:adjustRightInd w:val="0"/>
        <w:snapToGrid w:val="0"/>
        <w:spacing w:line="578" w:lineRule="exact"/>
        <w:ind w:firstLine="642" w:firstLineChars="200"/>
        <w:rPr>
          <w:rFonts w:ascii="仿宋_GB2312" w:hAnsi="仿宋_GB2312" w:cs="仿宋_GB2312"/>
          <w:kern w:val="0"/>
          <w:shd w:val="clear" w:color="auto" w:fill="FFFFFF"/>
          <w:lang w:val="zh-CN"/>
        </w:rPr>
      </w:pPr>
      <w:r>
        <w:rPr>
          <w:rFonts w:hint="eastAsia" w:ascii="楷体_GB2312" w:hAnsi="宋体" w:eastAsia="楷体_GB2312"/>
          <w:b/>
          <w:lang w:val="zh-CN"/>
        </w:rPr>
        <w:t>（四）项目绩效目标设置。</w:t>
      </w:r>
      <w:r>
        <w:rPr>
          <w:rFonts w:ascii="仿宋_GB2312" w:hAnsi="仿宋_GB2312" w:cs="仿宋_GB2312"/>
          <w:kern w:val="0"/>
          <w:shd w:val="clear" w:color="auto" w:fill="FFFFFF"/>
          <w:lang w:val="zh-CN"/>
        </w:rPr>
        <w:t>根据</w:t>
      </w:r>
      <w:r>
        <w:rPr>
          <w:rFonts w:hint="eastAsia" w:ascii="仿宋_GB2312" w:hAnsi="仿宋_GB2312" w:cs="仿宋_GB2312"/>
          <w:kern w:val="0"/>
          <w:shd w:val="clear" w:color="auto" w:fill="FFFFFF"/>
          <w:lang w:val="zh-CN"/>
        </w:rPr>
        <w:t>项目实际情况结合</w:t>
      </w:r>
      <w:r>
        <w:rPr>
          <w:rFonts w:ascii="仿宋_GB2312" w:hAnsi="仿宋_GB2312" w:cs="仿宋_GB2312"/>
          <w:kern w:val="0"/>
          <w:shd w:val="clear" w:color="auto" w:fill="FFFFFF"/>
          <w:lang w:val="zh-CN"/>
        </w:rPr>
        <w:t>预算绩效评价指标体系“</w:t>
      </w:r>
      <w:r>
        <w:rPr>
          <w:rFonts w:hint="eastAsia" w:ascii="仿宋_GB2312" w:hAnsi="仿宋_GB2312" w:cs="仿宋_GB2312"/>
          <w:kern w:val="0"/>
          <w:shd w:val="clear" w:color="auto" w:fill="FFFFFF"/>
          <w:lang w:val="zh-CN"/>
        </w:rPr>
        <w:t>通用指标</w:t>
      </w:r>
      <w:r>
        <w:rPr>
          <w:rFonts w:ascii="仿宋_GB2312" w:hAnsi="仿宋_GB2312" w:cs="仿宋_GB2312"/>
          <w:kern w:val="0"/>
          <w:shd w:val="clear" w:color="auto" w:fill="FFFFFF"/>
          <w:lang w:val="zh-CN"/>
        </w:rPr>
        <w:t>”</w:t>
      </w:r>
      <w:r>
        <w:rPr>
          <w:rFonts w:hint="eastAsia" w:ascii="仿宋_GB2312" w:hAnsi="仿宋_GB2312" w:cs="仿宋_GB2312"/>
          <w:kern w:val="0"/>
          <w:shd w:val="clear" w:color="auto" w:fill="FFFFFF"/>
          <w:lang w:val="zh-CN"/>
        </w:rPr>
        <w:t>“专用指标”“个性指标”</w:t>
      </w:r>
      <w:r>
        <w:rPr>
          <w:rFonts w:ascii="仿宋_GB2312" w:hAnsi="仿宋_GB2312" w:cs="仿宋_GB2312"/>
          <w:kern w:val="0"/>
          <w:shd w:val="clear" w:color="auto" w:fill="FFFFFF"/>
          <w:lang w:val="zh-CN"/>
        </w:rPr>
        <w:t>涉及</w:t>
      </w:r>
      <w:r>
        <w:rPr>
          <w:rFonts w:hint="eastAsia" w:ascii="仿宋_GB2312" w:hAnsi="仿宋_GB2312" w:cs="仿宋_GB2312"/>
          <w:kern w:val="0"/>
          <w:shd w:val="clear" w:color="auto" w:fill="FFFFFF"/>
          <w:lang w:val="zh-CN"/>
        </w:rPr>
        <w:t>二、三级</w:t>
      </w:r>
      <w:r>
        <w:rPr>
          <w:rFonts w:ascii="仿宋_GB2312" w:hAnsi="仿宋_GB2312" w:cs="仿宋_GB2312"/>
          <w:kern w:val="0"/>
          <w:shd w:val="clear" w:color="auto" w:fill="FFFFFF"/>
          <w:lang w:val="zh-CN"/>
        </w:rPr>
        <w:t>指标</w:t>
      </w:r>
      <w:r>
        <w:rPr>
          <w:rFonts w:hint="eastAsia" w:ascii="仿宋_GB2312" w:hAnsi="仿宋_GB2312" w:cs="仿宋_GB2312"/>
          <w:kern w:val="0"/>
          <w:shd w:val="clear" w:color="auto" w:fill="FFFFFF"/>
          <w:lang w:val="zh-CN"/>
        </w:rPr>
        <w:t>对本项目</w:t>
      </w:r>
      <w:r>
        <w:rPr>
          <w:rFonts w:ascii="仿宋_GB2312" w:hAnsi="仿宋_GB2312" w:cs="仿宋_GB2312"/>
          <w:kern w:val="0"/>
          <w:shd w:val="clear" w:color="auto" w:fill="FFFFFF"/>
          <w:lang w:val="zh-CN"/>
        </w:rPr>
        <w:t>进行</w:t>
      </w:r>
      <w:r>
        <w:rPr>
          <w:rFonts w:hint="eastAsia" w:ascii="仿宋_GB2312" w:hAnsi="仿宋_GB2312" w:cs="仿宋_GB2312"/>
          <w:kern w:val="0"/>
          <w:shd w:val="clear" w:color="auto" w:fill="FFFFFF"/>
          <w:lang w:val="zh-CN"/>
        </w:rPr>
        <w:t>逐项</w:t>
      </w:r>
      <w:r>
        <w:rPr>
          <w:rFonts w:ascii="仿宋_GB2312" w:hAnsi="仿宋_GB2312" w:cs="仿宋_GB2312"/>
          <w:kern w:val="0"/>
          <w:shd w:val="clear" w:color="auto" w:fill="FFFFFF"/>
          <w:lang w:val="zh-CN"/>
        </w:rPr>
        <w:t>绩效分析</w:t>
      </w:r>
      <w:r>
        <w:rPr>
          <w:rFonts w:hint="eastAsia" w:ascii="仿宋_GB2312" w:hAnsi="仿宋_GB2312" w:cs="仿宋_GB2312"/>
          <w:kern w:val="0"/>
          <w:shd w:val="clear" w:color="auto" w:fill="FFFFFF"/>
          <w:lang w:val="zh-CN"/>
        </w:rPr>
        <w:t>，并填写项目自评工作报告。</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pPr>
      <w:r>
        <w:rPr>
          <w:rFonts w:hint="eastAsia" w:ascii="楷体_GB2312" w:hAnsi="宋体" w:eastAsia="楷体_GB2312"/>
          <w:b/>
          <w:lang w:val="zh-CN"/>
        </w:rPr>
        <w:t>（一）评价目的。</w:t>
      </w:r>
      <w:r>
        <w:t>通过</w:t>
      </w:r>
      <w:r>
        <w:rPr>
          <w:rFonts w:hint="eastAsia"/>
        </w:rPr>
        <w:t>项目绩效自评体现项目的经济效益、社会效益、和环境效益。</w:t>
      </w:r>
    </w:p>
    <w:p>
      <w:pPr>
        <w:adjustRightInd w:val="0"/>
        <w:snapToGrid w:val="0"/>
        <w:spacing w:line="578" w:lineRule="exact"/>
        <w:ind w:firstLine="642" w:firstLineChars="200"/>
      </w:pPr>
      <w:r>
        <w:rPr>
          <w:rFonts w:hint="eastAsia" w:ascii="楷体_GB2312" w:hAnsi="宋体" w:eastAsia="楷体_GB2312"/>
          <w:b/>
          <w:lang w:val="zh-CN"/>
        </w:rPr>
        <w:t>（二）预设问题及评价重点。</w:t>
      </w:r>
      <w:r>
        <w:rPr>
          <w:rFonts w:hint="eastAsia"/>
        </w:rPr>
        <w:t>按照建设进度，工程款由我公司根据进度先行垫付，财政再根据2023年财政预算资金计划，年底将预算内资金支付至我公司，资金整体利用效益较好。</w:t>
      </w:r>
    </w:p>
    <w:p>
      <w:pPr>
        <w:adjustRightInd w:val="0"/>
        <w:snapToGrid w:val="0"/>
        <w:spacing w:line="578" w:lineRule="exact"/>
        <w:ind w:firstLine="642" w:firstLineChars="200"/>
        <w:rPr>
          <w:lang w:val="zh-CN"/>
        </w:rPr>
      </w:pPr>
      <w:r>
        <w:rPr>
          <w:rFonts w:hint="eastAsia" w:ascii="楷体_GB2312" w:hAnsi="宋体" w:eastAsia="楷体_GB2312"/>
          <w:b/>
          <w:lang w:val="zh-CN"/>
        </w:rPr>
        <w:t>（三）评价选点。</w:t>
      </w:r>
      <w:r>
        <w:rPr>
          <w:rFonts w:hint="eastAsia"/>
          <w:lang w:val="zh-CN"/>
        </w:rPr>
        <w:t>在项目周边进行随机访问。</w:t>
      </w:r>
    </w:p>
    <w:p>
      <w:pPr>
        <w:spacing w:line="578" w:lineRule="exact"/>
        <w:ind w:firstLine="640"/>
      </w:pPr>
      <w:r>
        <w:rPr>
          <w:rFonts w:hint="eastAsia" w:ascii="楷体_GB2312" w:hAnsi="宋体" w:eastAsia="楷体_GB2312"/>
          <w:b/>
          <w:lang w:val="zh-CN"/>
        </w:rPr>
        <w:t>（四）评价方法。</w:t>
      </w:r>
      <w:r>
        <w:t>根据项目情况和评价重点</w:t>
      </w:r>
      <w:r>
        <w:rPr>
          <w:rFonts w:hint="eastAsia"/>
        </w:rPr>
        <w:t>，</w:t>
      </w:r>
      <w:r>
        <w:t>采用</w:t>
      </w:r>
      <w:r>
        <w:rPr>
          <w:rFonts w:hint="eastAsia"/>
        </w:rPr>
        <w:t>了</w:t>
      </w:r>
      <w:r>
        <w:t>案卷研究法、单位自评法、</w:t>
      </w:r>
      <w:r>
        <w:rPr>
          <w:rFonts w:hint="eastAsia"/>
        </w:rPr>
        <w:t>随机访问</w:t>
      </w:r>
      <w:r>
        <w:t>等多种方法</w:t>
      </w:r>
      <w:r>
        <w:rPr>
          <w:rFonts w:hint="eastAsia"/>
        </w:rPr>
        <w:t>。</w:t>
      </w:r>
    </w:p>
    <w:p>
      <w:pPr>
        <w:spacing w:line="578" w:lineRule="exact"/>
        <w:ind w:firstLine="640"/>
        <w:rPr>
          <w:bCs/>
        </w:rPr>
      </w:pPr>
      <w:r>
        <w:rPr>
          <w:rFonts w:hint="eastAsia" w:ascii="楷体_GB2312" w:hAnsi="宋体" w:eastAsia="楷体_GB2312"/>
          <w:b/>
          <w:lang w:val="zh-CN"/>
        </w:rPr>
        <w:t>（五）评价组织。</w:t>
      </w:r>
      <w:r>
        <w:rPr>
          <w:rFonts w:hint="eastAsia"/>
        </w:rPr>
        <w:t>由财务部及工程部组成评价小组，财务部对财务指标进行自评价，工程部对工程类指标进行自评价。</w:t>
      </w:r>
    </w:p>
    <w:p>
      <w:pPr>
        <w:adjustRightInd w:val="0"/>
        <w:snapToGrid w:val="0"/>
        <w:spacing w:line="578" w:lineRule="exact"/>
        <w:ind w:firstLine="640" w:firstLineChars="200"/>
        <w:rPr>
          <w:rFonts w:ascii="仿宋_GB2312" w:hAnsi="宋体"/>
          <w:lang w:val="zh-CN"/>
        </w:rPr>
      </w:pPr>
      <w:r>
        <w:rPr>
          <w:rFonts w:hint="eastAsia" w:ascii="黑体" w:hAnsi="宋体" w:eastAsia="黑体"/>
        </w:rPr>
        <w:t>三、绩效分析</w:t>
      </w:r>
      <w:r>
        <w:rPr>
          <w:rFonts w:hint="eastAsia" w:ascii="仿宋_GB2312" w:hAnsi="宋体"/>
          <w:lang w:val="zh-CN"/>
        </w:rPr>
        <w:tab/>
      </w:r>
    </w:p>
    <w:p>
      <w:pPr>
        <w:spacing w:line="578" w:lineRule="exact"/>
        <w:ind w:firstLine="640"/>
        <w:rPr>
          <w:rFonts w:ascii="楷体_GB2312" w:hAnsi="宋体" w:eastAsia="楷体_GB2312"/>
          <w:b/>
        </w:rPr>
      </w:pPr>
      <w:r>
        <w:rPr>
          <w:rFonts w:hint="eastAsia" w:ascii="楷体_GB2312" w:hAnsi="宋体" w:eastAsia="楷体_GB2312"/>
          <w:b/>
          <w:lang w:val="zh-CN"/>
        </w:rPr>
        <w:t>（一）</w:t>
      </w:r>
      <w:r>
        <w:rPr>
          <w:rFonts w:hint="eastAsia" w:ascii="楷体_GB2312" w:hAnsi="宋体" w:eastAsia="楷体_GB2312"/>
          <w:b/>
        </w:rPr>
        <w:t>通用指标</w:t>
      </w:r>
      <w:r>
        <w:rPr>
          <w:rFonts w:eastAsia="楷体_GB2312"/>
          <w:b/>
          <w:bCs/>
          <w:kern w:val="0"/>
          <w:shd w:val="clear" w:color="auto" w:fill="FFFFFF"/>
          <w:lang w:val="zh-CN"/>
        </w:rPr>
        <w:t>绩效分析。</w:t>
      </w:r>
    </w:p>
    <w:p>
      <w:pPr>
        <w:spacing w:line="578" w:lineRule="exact"/>
        <w:ind w:firstLine="640"/>
      </w:pPr>
      <w:r>
        <w:rPr>
          <w:rFonts w:hint="eastAsia" w:ascii="楷体_GB2312" w:hAnsi="楷体_GB2312" w:eastAsia="楷体_GB2312" w:cs="楷体_GB2312"/>
        </w:rPr>
        <w:t>1.项目决策。</w:t>
      </w:r>
      <w:r>
        <w:rPr>
          <w:rFonts w:hint="eastAsia"/>
        </w:rPr>
        <w:t>该项目经广元市发展和改革委员会《关于利州区万源村农村路网建设项目可行性研究报告及立项的批复》（广发改投资（2009）139 号）、城乡规划委员会第（2016）第三期会议纪要及广府阅〔2016〕8号会议纪要批准同意建设。</w:t>
      </w:r>
    </w:p>
    <w:p>
      <w:pPr>
        <w:spacing w:line="578" w:lineRule="exact"/>
        <w:ind w:firstLine="640"/>
      </w:pPr>
      <w:r>
        <w:rPr>
          <w:rFonts w:hint="eastAsia" w:ascii="楷体_GB2312" w:hAnsi="楷体_GB2312" w:eastAsia="楷体_GB2312" w:cs="楷体_GB2312"/>
        </w:rPr>
        <w:t>2.项目管理。</w:t>
      </w:r>
      <w:r>
        <w:rPr>
          <w:rFonts w:hint="eastAsia"/>
        </w:rPr>
        <w:t>在具体进行项目实施过程中，项目公司严格执行财政部、建设部项目成本和管理相关法律法规、项目管理建章立制，各施工工程、勘察设计、监理项目公开招投标、阳光采购等相关制度，并接受各级监督检查。</w:t>
      </w:r>
    </w:p>
    <w:p>
      <w:pPr>
        <w:spacing w:line="578" w:lineRule="exact"/>
        <w:ind w:firstLine="640" w:firstLineChars="200"/>
        <w:rPr>
          <w:bCs/>
        </w:rPr>
      </w:pPr>
      <w:r>
        <w:rPr>
          <w:rFonts w:hint="eastAsia" w:ascii="楷体_GB2312" w:hAnsi="楷体_GB2312" w:eastAsia="楷体_GB2312" w:cs="楷体_GB2312"/>
        </w:rPr>
        <w:t>3.项目实施。</w:t>
      </w:r>
      <w:r>
        <w:rPr>
          <w:rFonts w:hint="eastAsia"/>
          <w:bCs/>
        </w:rPr>
        <w:t>我公司成立了万源开发分公司，专门负责整个项目的开发建设管理，由工程部负责，接受万源项目指挥部领导，并通过抽调及招聘方式组建了项目管理架构。分公司内设工程部、拆迁部及综合部。实施流程：严格按照市委市政府指示及法律法规进行，招标代理、勘察设计、施工、监理等均通过公开招标选取。项目相关信息均按照市建设局等主管部门要求，进行了公示</w:t>
      </w:r>
      <w:r>
        <w:rPr>
          <w:rFonts w:hint="eastAsia"/>
        </w:rPr>
        <w:t>。</w:t>
      </w:r>
    </w:p>
    <w:p>
      <w:pPr>
        <w:spacing w:line="578" w:lineRule="exact"/>
        <w:ind w:firstLine="640" w:firstLineChars="200"/>
      </w:pPr>
      <w:r>
        <w:rPr>
          <w:rFonts w:hint="eastAsia" w:ascii="楷体_GB2312" w:hAnsi="楷体_GB2312" w:eastAsia="楷体_GB2312" w:cs="楷体_GB2312"/>
        </w:rPr>
        <w:t>4.项目结果。</w:t>
      </w:r>
      <w:r>
        <w:rPr>
          <w:rFonts w:hint="eastAsia"/>
        </w:rPr>
        <w:t>项目严格按照计划及时间节点全面完成。其中较好的完成数量、质量、时效、成本的控制，项目资金与预算相符，无违法违规记录等情况，截止评价时点项目已全部完成了任务量，经相关部门检测项目质量全部达标。</w:t>
      </w:r>
    </w:p>
    <w:p>
      <w:pPr>
        <w:spacing w:line="578" w:lineRule="exact"/>
        <w:ind w:firstLine="642" w:firstLineChars="200"/>
        <w:rPr>
          <w:rFonts w:ascii="楷体_GB2312" w:hAnsi="楷体_GB2312" w:eastAsia="楷体_GB2312" w:cs="楷体_GB2312"/>
          <w:lang w:val="zh-CN"/>
        </w:rPr>
      </w:pPr>
      <w:r>
        <w:rPr>
          <w:rFonts w:hint="eastAsia" w:ascii="楷体_GB2312" w:hAnsi="宋体" w:eastAsia="楷体_GB2312"/>
          <w:b/>
          <w:lang w:val="zh-CN"/>
        </w:rPr>
        <w:t>（二）</w:t>
      </w:r>
      <w:r>
        <w:rPr>
          <w:rFonts w:hint="eastAsia" w:ascii="楷体_GB2312" w:hAnsi="宋体" w:eastAsia="楷体_GB2312"/>
          <w:b/>
        </w:rPr>
        <w:t>专用指标</w:t>
      </w:r>
      <w:r>
        <w:rPr>
          <w:rFonts w:eastAsia="楷体_GB2312"/>
          <w:b/>
          <w:bCs/>
          <w:kern w:val="0"/>
          <w:shd w:val="clear" w:color="auto" w:fill="FFFFFF"/>
          <w:lang w:val="zh-CN"/>
        </w:rPr>
        <w:t>绩效分析。</w:t>
      </w:r>
    </w:p>
    <w:p>
      <w:pPr>
        <w:spacing w:line="578" w:lineRule="exact"/>
        <w:ind w:firstLine="640" w:firstLineChars="200"/>
      </w:pPr>
      <w:r>
        <w:rPr>
          <w:rFonts w:hint="eastAsia" w:ascii="楷体_GB2312" w:hAnsi="楷体_GB2312" w:eastAsia="楷体_GB2312" w:cs="楷体_GB2312"/>
        </w:rPr>
        <w:t>1.项目验收。</w:t>
      </w:r>
      <w:r>
        <w:rPr>
          <w:rFonts w:hint="eastAsia"/>
        </w:rPr>
        <w:t>2021 年6 月1 日，经勘察、设计、建设、施工、监理等单位共同验收，验收结论为合格。</w:t>
      </w:r>
    </w:p>
    <w:p>
      <w:pPr>
        <w:spacing w:line="578" w:lineRule="exact"/>
        <w:ind w:firstLine="640" w:firstLineChars="200"/>
      </w:pPr>
      <w:r>
        <w:rPr>
          <w:rFonts w:hint="eastAsia" w:ascii="楷体_GB2312" w:hAnsi="楷体_GB2312" w:eastAsia="楷体_GB2312" w:cs="楷体_GB2312"/>
        </w:rPr>
        <w:t>2.</w:t>
      </w:r>
      <w:r>
        <w:rPr>
          <w:rFonts w:hint="eastAsia" w:ascii="楷体_GB2312" w:hAnsi="楷体_GB2312" w:eastAsia="楷体_GB2312" w:cs="楷体_GB2312"/>
          <w:lang w:val="zh-CN"/>
        </w:rPr>
        <w:t>功能实现。</w:t>
      </w:r>
      <w:r>
        <w:rPr>
          <w:rFonts w:hint="eastAsia"/>
        </w:rPr>
        <w:t>项目建成后，改善了区域的交通环境，为万源新区市政交通设施的建设打下坚实的基础，极大的推进广元市经济建设的步伐，为广元市招商引资创造良好的环境，对增强广元市综合竞争力具有重大意义。</w:t>
      </w:r>
    </w:p>
    <w:p>
      <w:pPr>
        <w:spacing w:line="578" w:lineRule="exact"/>
        <w:ind w:firstLine="640" w:firstLineChars="200"/>
        <w:rPr>
          <w:rFonts w:ascii="楷体_GB2312" w:hAnsi="楷体_GB2312" w:eastAsia="楷体_GB2312" w:cs="楷体_GB2312"/>
        </w:rPr>
      </w:pPr>
      <w:r>
        <w:rPr>
          <w:rFonts w:hint="eastAsia" w:ascii="楷体_GB2312" w:hAnsi="楷体_GB2312" w:eastAsia="楷体_GB2312" w:cs="楷体_GB2312"/>
        </w:rPr>
        <w:t>3.后续管护。</w:t>
      </w:r>
      <w:r>
        <w:rPr>
          <w:rFonts w:hint="eastAsia"/>
        </w:rPr>
        <w:t>2022年6月24日由广元市城市建设事务中心接受以及后续管护工作。</w:t>
      </w:r>
    </w:p>
    <w:p>
      <w:pPr>
        <w:spacing w:line="578" w:lineRule="exact"/>
        <w:ind w:firstLine="640"/>
        <w:rPr>
          <w:rFonts w:eastAsia="楷体_GB2312"/>
          <w:b/>
          <w:bCs/>
          <w:kern w:val="0"/>
          <w:shd w:val="clear" w:color="auto" w:fill="FFFFFF"/>
          <w:lang w:val="zh-CN"/>
        </w:rPr>
      </w:pPr>
      <w:r>
        <w:rPr>
          <w:rFonts w:hint="eastAsia" w:ascii="楷体_GB2312" w:hAnsi="宋体" w:eastAsia="楷体_GB2312"/>
          <w:b/>
          <w:lang w:val="zh-CN"/>
        </w:rPr>
        <w:t>（三）</w:t>
      </w:r>
      <w:r>
        <w:rPr>
          <w:rFonts w:hint="eastAsia" w:ascii="楷体_GB2312" w:hAnsi="宋体" w:eastAsia="楷体_GB2312"/>
          <w:b/>
        </w:rPr>
        <w:t>个性指标</w:t>
      </w:r>
      <w:r>
        <w:rPr>
          <w:rFonts w:eastAsia="楷体_GB2312"/>
          <w:b/>
          <w:bCs/>
          <w:kern w:val="0"/>
          <w:shd w:val="clear" w:color="auto" w:fill="FFFFFF"/>
          <w:lang w:val="zh-CN"/>
        </w:rPr>
        <w:t>绩效分析。</w:t>
      </w:r>
    </w:p>
    <w:p>
      <w:pPr>
        <w:spacing w:line="578" w:lineRule="exact"/>
        <w:ind w:firstLine="640"/>
        <w:rPr>
          <w:rFonts w:ascii="黑体" w:hAnsi="宋体" w:eastAsia="黑体"/>
        </w:rPr>
      </w:pPr>
      <w:r>
        <w:rPr>
          <w:rFonts w:hint="eastAsia" w:ascii="楷体" w:hAnsi="楷体" w:eastAsia="楷体" w:cs="楷体"/>
          <w:bCs/>
          <w:szCs w:val="32"/>
        </w:rPr>
        <w:t>生态效益指标</w:t>
      </w:r>
      <w:r>
        <w:rPr>
          <w:rFonts w:hint="eastAsia" w:ascii="楷体" w:hAnsi="楷体" w:eastAsia="楷体" w:cs="楷体"/>
          <w:bCs/>
          <w:szCs w:val="32"/>
          <w:lang w:val="zh-CN"/>
        </w:rPr>
        <w:t>。道路质量达到国家相关标准规定，符合生态发展。</w:t>
      </w:r>
      <w:r>
        <w:rPr>
          <w:rFonts w:hint="eastAsia" w:ascii="仿宋" w:hAnsi="仿宋" w:eastAsia="仿宋" w:cs="仿宋"/>
          <w:szCs w:val="32"/>
        </w:rPr>
        <w:t>项目的实施能够改善居住区的生态环境。该项目的建设能够大大改善项目区域的生态环境及卫生状况，因此本项目具有良好的环境生态效益。</w:t>
      </w:r>
      <w:r>
        <w:rPr>
          <w:rFonts w:hint="eastAsia" w:ascii="楷体_GB2312" w:hAnsi="楷体_GB2312" w:eastAsia="楷体_GB2312" w:cs="楷体_GB2312"/>
        </w:rPr>
        <w:t>群众满意度</w:t>
      </w:r>
      <w:r>
        <w:rPr>
          <w:rFonts w:hint="eastAsia"/>
          <w:lang w:val="zh-CN"/>
        </w:rPr>
        <w:t>。受益群众满意度达到100%。</w:t>
      </w:r>
    </w:p>
    <w:p>
      <w:pPr>
        <w:spacing w:line="578" w:lineRule="exact"/>
        <w:ind w:firstLine="640"/>
        <w:rPr>
          <w:lang w:val="zh-CN"/>
        </w:rPr>
      </w:pPr>
      <w:r>
        <w:rPr>
          <w:rFonts w:hint="eastAsia" w:ascii="黑体" w:hAnsi="宋体" w:eastAsia="黑体"/>
        </w:rPr>
        <w:t>四、评价结论</w:t>
      </w:r>
    </w:p>
    <w:p>
      <w:pPr>
        <w:spacing w:line="500" w:lineRule="exact"/>
        <w:ind w:firstLine="640"/>
        <w:rPr>
          <w:rFonts w:ascii="仿宋" w:hAnsi="仿宋" w:eastAsia="仿宋" w:cs="仿宋"/>
        </w:rPr>
      </w:pPr>
      <w:r>
        <w:rPr>
          <w:rFonts w:hint="eastAsia" w:ascii="仿宋" w:hAnsi="仿宋" w:eastAsia="仿宋" w:cs="仿宋"/>
        </w:rPr>
        <w:t>万源21号路道路工程项目总体自评得分97.45分。项目的实施，有利于进一步改善利州区万源村交通条件，进一步改善广元市城市面貌和生态环境，促进广元城市发展，推进广元市城乡一体化建设，提高城市化水平。同时，项目的实施，还有利于改善广元市利州区的投资环境，对拉动地方经济和其他行业的发展，对提高广元市城市形象，提高广元市的经济实力，促进广元市社会、经济和环境的可持续发展，都具有非常重要的意义。</w:t>
      </w:r>
    </w:p>
    <w:p>
      <w:pPr>
        <w:adjustRightInd w:val="0"/>
        <w:snapToGrid w:val="0"/>
        <w:spacing w:line="578" w:lineRule="exact"/>
        <w:ind w:firstLine="640" w:firstLineChars="200"/>
        <w:rPr>
          <w:rFonts w:ascii="黑体" w:hAnsi="宋体" w:eastAsia="黑体"/>
        </w:rPr>
      </w:pPr>
      <w:r>
        <w:rPr>
          <w:rFonts w:hint="eastAsia" w:ascii="黑体" w:hAnsi="宋体" w:eastAsia="黑体"/>
        </w:rPr>
        <w:t>五、存在主要问题</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一是征地拆迁进度与项目建设进度需求间存在矛盾，不满足项目建设进度需要，造成项目建设进度及相关配套设施无法满足要求；二是资金需求不能及时满足建设进度要求。</w:t>
      </w:r>
    </w:p>
    <w:p>
      <w:pPr>
        <w:adjustRightInd w:val="0"/>
        <w:snapToGrid w:val="0"/>
        <w:spacing w:line="578" w:lineRule="exact"/>
        <w:ind w:firstLine="640" w:firstLineChars="200"/>
        <w:rPr>
          <w:rFonts w:ascii="黑体" w:hAnsi="宋体" w:eastAsia="黑体"/>
        </w:rPr>
      </w:pPr>
      <w:r>
        <w:rPr>
          <w:rFonts w:hint="eastAsia" w:ascii="黑体" w:hAnsi="宋体" w:eastAsia="黑体"/>
        </w:rPr>
        <w:t>六、改进建议</w:t>
      </w:r>
    </w:p>
    <w:p>
      <w:pPr>
        <w:tabs>
          <w:tab w:val="left" w:pos="1911"/>
        </w:tabs>
        <w:jc w:val="left"/>
        <w:rPr>
          <w:rFonts w:ascii="仿宋_GB2312" w:hAnsi="仿宋_GB2312" w:cs="仿宋_GB2312"/>
          <w:kern w:val="0"/>
          <w:lang w:val="en"/>
        </w:rPr>
      </w:pPr>
      <w:r>
        <w:rPr>
          <w:rFonts w:hint="eastAsia" w:ascii="仿宋_GB2312" w:hAnsi="仿宋_GB2312" w:cs="仿宋_GB2312"/>
          <w:kern w:val="0"/>
          <w:shd w:val="clear" w:color="auto" w:fill="FFFFFF"/>
          <w:lang w:val="zh-CN"/>
        </w:rPr>
        <w:t xml:space="preserve"> </w:t>
      </w:r>
      <w:r>
        <w:rPr>
          <w:rFonts w:hint="eastAsia" w:ascii="仿宋_GB2312" w:hAnsi="仿宋_GB2312" w:cs="仿宋_GB2312"/>
          <w:kern w:val="0"/>
        </w:rPr>
        <w:t xml:space="preserve">   一是提前做好资金计划安排，二是积极与市拆迁办、办事处、社区等征地拆迁单位及个人做好充分沟通协调，制定具体的拆迁计划，明确拆迁的先后顺序，避免出现拆完的不能用、要用的还未拆完等情况的发生，三是积极对接市财政局争取项目建设资金及时足额到位。</w:t>
      </w: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ind w:left="640"/>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关于产业专班工作经费项目绩效评价的报告</w:t>
      </w:r>
    </w:p>
    <w:p>
      <w:pPr>
        <w:pStyle w:val="38"/>
        <w:spacing w:line="578" w:lineRule="exact"/>
        <w:ind w:left="640" w:firstLine="640"/>
        <w:jc w:val="center"/>
        <w:rPr>
          <w:rFonts w:ascii="宋体" w:hAnsi="宋体"/>
          <w:color w:val="auto"/>
          <w:kern w:val="2"/>
          <w:sz w:val="32"/>
          <w:szCs w:val="32"/>
        </w:rPr>
      </w:pPr>
    </w:p>
    <w:p>
      <w:pPr>
        <w:adjustRightInd w:val="0"/>
        <w:snapToGrid w:val="0"/>
        <w:spacing w:line="578"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widowControl/>
        <w:adjustRightInd w:val="0"/>
        <w:snapToGrid w:val="0"/>
        <w:spacing w:line="578" w:lineRule="exact"/>
        <w:ind w:firstLine="640" w:firstLineChars="200"/>
        <w:contextualSpacing/>
        <w:rPr>
          <w:rFonts w:ascii="仿宋_GB2312" w:hAnsi="仿宋_GB2312" w:cs="仿宋_GB2312"/>
          <w:bCs/>
          <w:kern w:val="0"/>
          <w:shd w:val="clear" w:color="auto" w:fill="FFFFFF"/>
          <w:lang w:val="zh-CN"/>
        </w:rPr>
      </w:pPr>
      <w:r>
        <w:rPr>
          <w:rFonts w:hint="eastAsia" w:ascii="楷体_GB2312" w:hAnsi="宋体" w:eastAsia="楷体_GB2312"/>
          <w:bCs/>
          <w:szCs w:val="32"/>
          <w:lang w:val="zh-CN"/>
        </w:rPr>
        <w:t>（一）设立背景及基本情况。</w:t>
      </w:r>
      <w:r>
        <w:rPr>
          <w:rFonts w:hint="eastAsia" w:ascii="仿宋_GB2312" w:hAnsi="仿宋_GB2312" w:cs="仿宋_GB2312"/>
          <w:bCs/>
          <w:kern w:val="0"/>
          <w:szCs w:val="32"/>
          <w:shd w:val="clear" w:color="auto" w:fill="FFFFFF"/>
          <w:lang w:val="zh-CN"/>
        </w:rPr>
        <w:t>根据市委办、市政府办《关于成立广元市重点产业发展领导小组及工作专班的通知》（广委办函〔2022〕55号）文件，我委产业专班工作经费主要围绕贯彻落实市委工作会议精神，坚持以发展特色优质茶产业为核心，着力健全茶叶种植、加工、营销产业链，充分发挥龙头企业和行业协会带动引领作用，扩大产业规模、提升品质品牌、拓展市场效益，充分发挥专班统筹协调职能，全方位推进茶产业发展。项目预算资金</w:t>
      </w:r>
      <w:r>
        <w:rPr>
          <w:rFonts w:hint="eastAsia" w:ascii="仿宋_GB2312" w:hAnsi="仿宋_GB2312" w:cs="仿宋_GB2312"/>
          <w:bCs/>
          <w:kern w:val="0"/>
          <w:szCs w:val="32"/>
          <w:shd w:val="clear" w:color="auto" w:fill="FFFFFF"/>
        </w:rPr>
        <w:t>40万元，资金来源为财政拨款。</w:t>
      </w:r>
      <w:r>
        <w:rPr>
          <w:rFonts w:hint="eastAsia" w:ascii="仿宋_GB2312" w:hAnsi="仿宋_GB2312" w:cs="仿宋_GB2312"/>
          <w:bCs/>
          <w:kern w:val="0"/>
          <w:szCs w:val="32"/>
          <w:shd w:val="clear" w:color="auto" w:fill="FFFFFF"/>
          <w:lang w:val="zh-CN"/>
        </w:rPr>
        <w:t>业主主管部门为市国资委，负责工作专班的日常事务运行，执行推进工作专班的安排部署。会同各专班成员单位制定月、年度工作计划。督促检查工作专班各项决策部署的贯彻落实情况。</w:t>
      </w:r>
    </w:p>
    <w:p>
      <w:pPr>
        <w:adjustRightInd w:val="0"/>
        <w:snapToGrid w:val="0"/>
        <w:spacing w:line="578" w:lineRule="exact"/>
        <w:ind w:firstLine="640" w:firstLineChars="200"/>
        <w:rPr>
          <w:rFonts w:ascii="楷体_GB2312" w:hAnsi="宋体" w:eastAsia="楷体_GB2312"/>
          <w:bCs/>
          <w:lang w:val="zh-CN"/>
        </w:rPr>
      </w:pPr>
      <w:r>
        <w:rPr>
          <w:rFonts w:hint="eastAsia" w:ascii="楷体_GB2312" w:hAnsi="宋体" w:eastAsia="楷体_GB2312"/>
          <w:bCs/>
          <w:szCs w:val="32"/>
          <w:lang w:val="zh-CN"/>
        </w:rPr>
        <w:t>（二）</w:t>
      </w:r>
      <w:r>
        <w:rPr>
          <w:rFonts w:ascii="楷体_GB2312" w:hAnsi="宋体" w:eastAsia="楷体_GB2312"/>
          <w:bCs/>
          <w:szCs w:val="32"/>
        </w:rPr>
        <w:t>实施目的及支持方向</w:t>
      </w:r>
      <w:r>
        <w:rPr>
          <w:rFonts w:hint="eastAsia" w:ascii="楷体_GB2312" w:hAnsi="宋体" w:eastAsia="楷体_GB2312"/>
          <w:bCs/>
          <w:szCs w:val="32"/>
        </w:rPr>
        <w:t>。</w:t>
      </w:r>
      <w:r>
        <w:rPr>
          <w:rFonts w:hint="eastAsia" w:ascii="仿宋_GB2312" w:hAnsi="仿宋_GB2312" w:cs="仿宋_GB2312"/>
          <w:bCs/>
          <w:kern w:val="0"/>
          <w:szCs w:val="32"/>
          <w:shd w:val="clear" w:color="auto" w:fill="FFFFFF"/>
        </w:rPr>
        <w:t>项目主要通过多元化措施，提升我市茶品牌影响力、知名度，资金支持方向为参加产业培训、外出调研督导、组织重点企业参加省茶博会、农博会等各类推介会，开展项目招商引资和业务培训。</w:t>
      </w:r>
    </w:p>
    <w:p>
      <w:pPr>
        <w:widowControl/>
        <w:adjustRightInd w:val="0"/>
        <w:snapToGrid w:val="0"/>
        <w:spacing w:line="578" w:lineRule="exact"/>
        <w:ind w:firstLine="640" w:firstLineChars="200"/>
        <w:contextualSpacing/>
        <w:jc w:val="left"/>
        <w:rPr>
          <w:rFonts w:ascii="仿宋_GB2312" w:hAnsi="仿宋_GB2312" w:cs="仿宋_GB2312"/>
          <w:bCs/>
          <w:kern w:val="0"/>
          <w:shd w:val="clear" w:color="auto" w:fill="FFFFFF"/>
          <w:lang w:val="zh-CN"/>
        </w:rPr>
      </w:pPr>
      <w:r>
        <w:rPr>
          <w:rFonts w:hint="eastAsia" w:ascii="楷体_GB2312" w:hAnsi="宋体" w:eastAsia="楷体_GB2312"/>
          <w:bCs/>
          <w:szCs w:val="32"/>
          <w:lang w:val="zh-CN"/>
        </w:rPr>
        <w:t>（三）</w:t>
      </w:r>
      <w:r>
        <w:rPr>
          <w:rFonts w:ascii="楷体_GB2312" w:hAnsi="宋体" w:eastAsia="楷体_GB2312"/>
          <w:bCs/>
          <w:szCs w:val="32"/>
        </w:rPr>
        <w:t>预算安排及分配管理</w:t>
      </w:r>
      <w:r>
        <w:rPr>
          <w:rFonts w:hint="eastAsia" w:ascii="楷体_GB2312" w:hAnsi="宋体" w:eastAsia="楷体_GB2312"/>
          <w:bCs/>
          <w:szCs w:val="32"/>
          <w:lang w:val="zh-CN"/>
        </w:rPr>
        <w:t>。</w:t>
      </w:r>
      <w:r>
        <w:rPr>
          <w:rFonts w:hint="eastAsia" w:ascii="仿宋_GB2312" w:hAnsi="仿宋_GB2312" w:cs="仿宋_GB2312"/>
          <w:bCs/>
          <w:kern w:val="0"/>
          <w:szCs w:val="32"/>
          <w:shd w:val="clear" w:color="auto" w:fill="FFFFFF"/>
        </w:rPr>
        <w:t>2023年，市财政根据专班工作实际情况，拨付40万元作为专班工作经费，同时我委为合理安排预算，根据茶产业专班工作经费预算方案，按照成员单位任务职能分工和所承担任务重点区分，按照实施重点任务类别、实报实销原则进行报账</w:t>
      </w:r>
      <w:r>
        <w:rPr>
          <w:rFonts w:hint="eastAsia" w:ascii="仿宋_GB2312" w:hAnsi="仿宋_GB2312" w:cs="仿宋_GB2312"/>
          <w:bCs/>
          <w:kern w:val="0"/>
          <w:szCs w:val="32"/>
          <w:shd w:val="clear" w:color="auto" w:fill="FFFFFF"/>
          <w:lang w:val="zh-CN"/>
        </w:rPr>
        <w:t>。</w:t>
      </w:r>
    </w:p>
    <w:p>
      <w:pPr>
        <w:adjustRightInd w:val="0"/>
        <w:snapToGrid w:val="0"/>
        <w:spacing w:line="578" w:lineRule="exact"/>
        <w:ind w:firstLine="640" w:firstLineChars="200"/>
        <w:rPr>
          <w:lang w:val="zh-CN"/>
        </w:rPr>
      </w:pPr>
      <w:r>
        <w:rPr>
          <w:rFonts w:hint="eastAsia" w:ascii="楷体_GB2312" w:hAnsi="宋体" w:eastAsia="楷体_GB2312"/>
          <w:bCs/>
          <w:szCs w:val="32"/>
          <w:lang w:val="zh-CN"/>
        </w:rPr>
        <w:t>（四）项目绩效目标设置。</w:t>
      </w:r>
      <w:r>
        <w:rPr>
          <w:rFonts w:hint="eastAsia"/>
          <w:bCs/>
          <w:szCs w:val="32"/>
          <w:lang w:val="zh-CN"/>
        </w:rPr>
        <w:t>通过多种提升产品附加值，推动我市重点产业高质量发展，完成专</w:t>
      </w:r>
      <w:r>
        <w:rPr>
          <w:rFonts w:hint="eastAsia"/>
          <w:szCs w:val="32"/>
          <w:lang w:val="zh-CN"/>
        </w:rPr>
        <w:t>班各项工作任务。计划</w:t>
      </w:r>
      <w:r>
        <w:rPr>
          <w:rFonts w:hint="eastAsia"/>
          <w:szCs w:val="32"/>
        </w:rPr>
        <w:t>2024年完成外出参加产业培训4次、外出调研5次，组织开展考察活动、外出招商5次，组织参加省茶博会、农博会、产业推荐等6次，洽谈项目次数5次</w:t>
      </w:r>
      <w:r>
        <w:rPr>
          <w:rFonts w:hint="eastAsia"/>
          <w:szCs w:val="32"/>
          <w:lang w:val="zh-CN"/>
        </w:rPr>
        <w:t>。</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pPr>
      <w:r>
        <w:rPr>
          <w:rFonts w:hint="eastAsia" w:ascii="楷体_GB2312" w:hAnsi="宋体" w:eastAsia="楷体_GB2312"/>
          <w:bCs/>
          <w:szCs w:val="32"/>
          <w:lang w:val="zh-CN"/>
        </w:rPr>
        <w:t>（一）评价目的。</w:t>
      </w:r>
      <w:r>
        <w:t>通过</w:t>
      </w:r>
      <w:r>
        <w:rPr>
          <w:rFonts w:hint="eastAsia"/>
        </w:rPr>
        <w:t>项目绩效自评体现项目的经济效益、社会效益、和环境效益，最终达到推动我市茶产业实现高质量发展。</w:t>
      </w:r>
    </w:p>
    <w:p>
      <w:pPr>
        <w:adjustRightInd w:val="0"/>
        <w:snapToGrid w:val="0"/>
        <w:spacing w:line="578" w:lineRule="exact"/>
        <w:ind w:firstLine="640" w:firstLineChars="200"/>
      </w:pPr>
      <w:r>
        <w:rPr>
          <w:rFonts w:hint="eastAsia" w:ascii="楷体_GB2312" w:hAnsi="宋体" w:eastAsia="楷体_GB2312"/>
          <w:bCs/>
          <w:szCs w:val="32"/>
          <w:lang w:val="zh-CN"/>
        </w:rPr>
        <w:t>（二）预设问题及评价重点。</w:t>
      </w:r>
      <w:r>
        <w:rPr>
          <w:rFonts w:hint="eastAsia"/>
          <w:szCs w:val="32"/>
        </w:rPr>
        <w:t>根据实施重点任务及所承担任务职能，市财政拨付资金后，立即展开项目资金评，项目资金整体利用率较好。</w:t>
      </w:r>
    </w:p>
    <w:p>
      <w:pPr>
        <w:adjustRightInd w:val="0"/>
        <w:snapToGrid w:val="0"/>
        <w:spacing w:line="578" w:lineRule="exact"/>
        <w:ind w:firstLine="640" w:firstLineChars="200"/>
        <w:rPr>
          <w:lang w:val="zh-CN"/>
        </w:rPr>
      </w:pPr>
      <w:r>
        <w:rPr>
          <w:rFonts w:hint="eastAsia" w:ascii="楷体_GB2312" w:hAnsi="宋体" w:eastAsia="楷体_GB2312"/>
          <w:bCs/>
          <w:szCs w:val="32"/>
          <w:lang w:val="zh-CN"/>
        </w:rPr>
        <w:t>（三）评价选点。</w:t>
      </w:r>
      <w:r>
        <w:rPr>
          <w:rFonts w:hint="eastAsia"/>
          <w:szCs w:val="32"/>
          <w:lang w:val="zh-CN"/>
        </w:rPr>
        <w:t>主要按照随机检查、抽查方式，对项目所在点位进行检查。</w:t>
      </w:r>
    </w:p>
    <w:p>
      <w:pPr>
        <w:spacing w:line="578" w:lineRule="exact"/>
        <w:ind w:firstLine="640"/>
      </w:pPr>
      <w:r>
        <w:rPr>
          <w:rFonts w:hint="eastAsia" w:ascii="楷体_GB2312" w:hAnsi="宋体" w:eastAsia="楷体_GB2312"/>
          <w:bCs/>
          <w:szCs w:val="32"/>
          <w:lang w:val="zh-CN"/>
        </w:rPr>
        <w:t>（四）评价方法。</w:t>
      </w:r>
      <w:r>
        <w:t>根据项目情况和评价重点</w:t>
      </w:r>
      <w:r>
        <w:rPr>
          <w:rFonts w:hint="eastAsia"/>
        </w:rPr>
        <w:t>，</w:t>
      </w:r>
      <w:r>
        <w:t>采用</w:t>
      </w:r>
      <w:r>
        <w:rPr>
          <w:rFonts w:hint="eastAsia"/>
        </w:rPr>
        <w:t>了</w:t>
      </w:r>
      <w:r>
        <w:t>案卷研究法、单位自评法、</w:t>
      </w:r>
      <w:r>
        <w:rPr>
          <w:rFonts w:hint="eastAsia"/>
        </w:rPr>
        <w:t>随机访问</w:t>
      </w:r>
      <w:r>
        <w:t>等多种方法</w:t>
      </w:r>
      <w:r>
        <w:rPr>
          <w:rFonts w:hint="eastAsia"/>
        </w:rPr>
        <w:t>。</w:t>
      </w:r>
    </w:p>
    <w:p>
      <w:pPr>
        <w:spacing w:line="578" w:lineRule="exact"/>
        <w:ind w:firstLine="640"/>
        <w:rPr>
          <w:bCs/>
        </w:rPr>
      </w:pPr>
      <w:r>
        <w:rPr>
          <w:rFonts w:hint="eastAsia" w:ascii="楷体_GB2312" w:hAnsi="宋体" w:eastAsia="楷体_GB2312"/>
          <w:bCs/>
          <w:szCs w:val="32"/>
          <w:lang w:val="zh-CN"/>
        </w:rPr>
        <w:t>（五）评价组织。</w:t>
      </w:r>
      <w:r>
        <w:rPr>
          <w:rFonts w:hint="eastAsia"/>
        </w:rPr>
        <w:t>由财务部及投资科组成评价小组，财务部对财务指标进行自评价，投资科对数量类指标进行自评价。</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方正楷体_GBK" w:eastAsia="楷体_GB2312" w:cs="方正楷体_GBK"/>
        </w:rPr>
      </w:pPr>
      <w:r>
        <w:rPr>
          <w:rFonts w:hint="eastAsia" w:ascii="楷体_GB2312" w:hAnsi="方正楷体_GBK" w:eastAsia="楷体_GB2312" w:cs="方正楷体_GBK"/>
        </w:rPr>
        <w:t>（一）通用指标绩效分析</w:t>
      </w:r>
    </w:p>
    <w:p>
      <w:pPr>
        <w:spacing w:line="578" w:lineRule="exact"/>
        <w:ind w:firstLine="640"/>
      </w:pPr>
      <w:r>
        <w:rPr>
          <w:rFonts w:hint="eastAsia"/>
          <w:b/>
          <w:bCs/>
        </w:rPr>
        <w:t>1.项目决策。</w:t>
      </w:r>
      <w:r>
        <w:rPr>
          <w:rFonts w:hint="eastAsia"/>
          <w:lang w:val="zh-CN"/>
        </w:rPr>
        <w:t>围绕确保专班运转、新业态招引、茶品牌推广、举办培训活动、制定产业规划开展相关工作。自评</w:t>
      </w:r>
      <w:r>
        <w:rPr>
          <w:rFonts w:hint="eastAsia"/>
        </w:rPr>
        <w:t>18分。</w:t>
      </w:r>
    </w:p>
    <w:p>
      <w:pPr>
        <w:spacing w:line="578" w:lineRule="exact"/>
        <w:ind w:firstLine="640"/>
      </w:pPr>
      <w:r>
        <w:rPr>
          <w:rFonts w:hint="eastAsia" w:ascii="楷体_GB2312" w:hAnsi="宋体" w:eastAsia="楷体_GB2312"/>
          <w:b/>
          <w:szCs w:val="32"/>
        </w:rPr>
        <w:t>2.项目管理。</w:t>
      </w:r>
      <w:r>
        <w:rPr>
          <w:rFonts w:hint="eastAsia"/>
        </w:rPr>
        <w:t>该项目主要围绕外出开展考察招商、开展业务培训进行分析，截止评价时间，项目资金预算合理合法，各项成本均控制在有效范围内。自评18分。</w:t>
      </w:r>
    </w:p>
    <w:p>
      <w:pPr>
        <w:spacing w:line="578" w:lineRule="exact"/>
        <w:ind w:firstLine="640"/>
      </w:pPr>
      <w:r>
        <w:rPr>
          <w:rFonts w:hint="eastAsia" w:ascii="楷体_GB2312" w:hAnsi="宋体" w:eastAsia="楷体_GB2312"/>
          <w:b/>
          <w:szCs w:val="32"/>
        </w:rPr>
        <w:t>3.项目实施。</w:t>
      </w:r>
      <w:r>
        <w:rPr>
          <w:rFonts w:hint="eastAsia"/>
        </w:rPr>
        <w:t>为保证财政资金发挥其综合效益，在实施过程中，对项目资金实行“专人管理、专账核算、专款专用”的原则进行管理。自评9分。</w:t>
      </w:r>
    </w:p>
    <w:p>
      <w:pPr>
        <w:spacing w:line="578" w:lineRule="exact"/>
        <w:ind w:firstLine="640"/>
      </w:pPr>
      <w:r>
        <w:rPr>
          <w:rFonts w:hint="eastAsia" w:ascii="楷体_GB2312" w:hAnsi="宋体" w:eastAsia="楷体_GB2312"/>
          <w:b/>
          <w:szCs w:val="32"/>
        </w:rPr>
        <w:t>4.项目结果。</w:t>
      </w:r>
      <w:r>
        <w:rPr>
          <w:rFonts w:hint="eastAsia"/>
        </w:rPr>
        <w:t>全年完成外出参加产业培训5次、外出调研7次，组织开展考察活动、外出招商6次、组织参加省茶博会、农博会、产业推介等7次，洽谈项目次数6次。自评9分。</w:t>
      </w:r>
    </w:p>
    <w:p>
      <w:pPr>
        <w:spacing w:line="578" w:lineRule="exact"/>
        <w:ind w:firstLine="640"/>
        <w:rPr>
          <w:rFonts w:ascii="楷体_GB2312" w:hAnsi="方正楷体_GBK" w:eastAsia="楷体_GB2312" w:cs="方正楷体_GBK"/>
        </w:rPr>
      </w:pPr>
      <w:r>
        <w:rPr>
          <w:rFonts w:hint="eastAsia" w:ascii="楷体_GB2312" w:hAnsi="方正楷体_GBK" w:eastAsia="楷体_GB2312" w:cs="方正楷体_GBK"/>
        </w:rPr>
        <w:t>（二）专用指标绩效</w:t>
      </w:r>
    </w:p>
    <w:p>
      <w:pPr>
        <w:pStyle w:val="2"/>
        <w:spacing w:before="93" w:line="600" w:lineRule="exact"/>
        <w:ind w:firstLine="640" w:firstLineChars="200"/>
        <w:rPr>
          <w:rFonts w:hAnsi="仿宋_GB2312" w:cs="仿宋_GB2312"/>
          <w:sz w:val="32"/>
          <w:szCs w:val="32"/>
        </w:rPr>
      </w:pPr>
      <w:r>
        <w:rPr>
          <w:rFonts w:hint="eastAsia" w:hAnsi="仿宋_GB2312" w:cs="仿宋_GB2312"/>
          <w:sz w:val="32"/>
          <w:szCs w:val="32"/>
        </w:rPr>
        <w:t>对推动我市茶产业高质量发展有着极强的拉动作用，有力提升我市茶产业品牌影响力、知名度，茶产品附加值大幅度提升。自评30分。</w:t>
      </w:r>
    </w:p>
    <w:p>
      <w:pPr>
        <w:spacing w:line="578" w:lineRule="exact"/>
        <w:ind w:firstLine="640"/>
        <w:rPr>
          <w:rFonts w:ascii="楷体_GB2312" w:hAnsi="方正楷体_GBK" w:eastAsia="楷体_GB2312" w:cs="方正楷体_GBK"/>
        </w:rPr>
      </w:pPr>
      <w:r>
        <w:rPr>
          <w:rFonts w:hint="eastAsia" w:ascii="楷体_GB2312" w:hAnsi="方正楷体_GBK" w:eastAsia="楷体_GB2312" w:cs="方正楷体_GBK"/>
        </w:rPr>
        <w:t>（三）个性指标绩效分析</w:t>
      </w:r>
    </w:p>
    <w:p>
      <w:pPr>
        <w:pStyle w:val="2"/>
        <w:spacing w:before="93" w:line="600" w:lineRule="exact"/>
        <w:ind w:firstLine="640" w:firstLineChars="200"/>
        <w:rPr>
          <w:rFonts w:hAnsi="仿宋_GB2312" w:cs="仿宋_GB2312"/>
          <w:sz w:val="32"/>
          <w:szCs w:val="32"/>
        </w:rPr>
      </w:pPr>
      <w:r>
        <w:rPr>
          <w:rFonts w:hint="eastAsia" w:hAnsi="仿宋_GB2312" w:cs="仿宋_GB2312"/>
          <w:sz w:val="32"/>
          <w:szCs w:val="32"/>
        </w:rPr>
        <w:t>市属国有企业满意度100%。自评16分。</w:t>
      </w:r>
    </w:p>
    <w:p>
      <w:pPr>
        <w:pStyle w:val="2"/>
        <w:spacing w:before="93" w:line="600" w:lineRule="exact"/>
        <w:ind w:firstLine="640" w:firstLineChars="200"/>
        <w:rPr>
          <w:rFonts w:ascii="黑体" w:hAnsi="宋体"/>
          <w:sz w:val="32"/>
          <w:szCs w:val="32"/>
        </w:rPr>
      </w:pPr>
      <w:r>
        <w:rPr>
          <w:rFonts w:hint="eastAsia" w:ascii="黑体" w:hAnsi="宋体" w:eastAsia="黑体"/>
          <w:sz w:val="32"/>
          <w:szCs w:val="32"/>
        </w:rPr>
        <w:t>四、评价结论</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经自评价，该项目目标明确，基本实现总体预期目标，对推动全市茶产业高质量发展，提升茶品牌影响力、知名度，擦亮“广元造”金字招牌，巩固“精制川茶”重要地位有着极大的促进作用。截止评价时间，该项目总体实现基本预期，圆满完成2023年度目标任务。自评总分100分。</w:t>
      </w:r>
    </w:p>
    <w:p>
      <w:pPr>
        <w:pStyle w:val="2"/>
        <w:spacing w:before="93" w:line="600" w:lineRule="exact"/>
        <w:ind w:firstLine="640" w:firstLineChars="200"/>
        <w:rPr>
          <w:rFonts w:ascii="黑体" w:hAnsi="黑体" w:eastAsia="黑体"/>
          <w:sz w:val="32"/>
          <w:szCs w:val="32"/>
        </w:rPr>
      </w:pPr>
      <w:r>
        <w:rPr>
          <w:rFonts w:hint="eastAsia" w:ascii="黑体" w:hAnsi="黑体" w:eastAsia="黑体"/>
          <w:sz w:val="32"/>
          <w:szCs w:val="32"/>
        </w:rPr>
        <w:t>五、存在主要问题</w:t>
      </w:r>
    </w:p>
    <w:p>
      <w:pPr>
        <w:pStyle w:val="2"/>
        <w:spacing w:before="93" w:line="600" w:lineRule="exact"/>
        <w:ind w:firstLine="640" w:firstLineChars="200"/>
        <w:rPr>
          <w:rFonts w:hAnsi="仿宋_GB2312" w:cs="仿宋_GB2312"/>
          <w:sz w:val="32"/>
          <w:szCs w:val="32"/>
          <w:shd w:val="clear" w:color="auto" w:fill="FFFFFF"/>
        </w:rPr>
      </w:pPr>
      <w:r>
        <w:rPr>
          <w:rFonts w:hint="eastAsia" w:ascii="楷体_GB2312" w:hAnsi="方正楷体_GBK" w:eastAsia="楷体_GB2312" w:cs="方正楷体_GBK"/>
          <w:sz w:val="32"/>
          <w:szCs w:val="32"/>
          <w:shd w:val="clear" w:color="auto" w:fill="FFFFFF"/>
        </w:rPr>
        <w:t>（一）基地设施不配套，茶园亩产水平较低。</w:t>
      </w:r>
      <w:r>
        <w:rPr>
          <w:rFonts w:hint="eastAsia" w:hAnsi="仿宋_GB2312" w:cs="仿宋_GB2312"/>
          <w:sz w:val="32"/>
          <w:szCs w:val="32"/>
          <w:shd w:val="clear" w:color="auto" w:fill="FFFFFF"/>
        </w:rPr>
        <w:t>茶园分散且多数分布在高山区域，五网配套不足，茶园标准化不高，茶园重建轻管、重春茶采摘轻夏秋茶利用现象较为突出，茶园亩产水平较低。我市茶园干茶平均亩产43.7kg，与全国63.6kg/亩和全省60.5kg/亩的水平差距较大。</w:t>
      </w:r>
    </w:p>
    <w:p>
      <w:pPr>
        <w:pStyle w:val="2"/>
        <w:spacing w:before="93" w:line="600" w:lineRule="exact"/>
        <w:ind w:firstLine="640" w:firstLineChars="200"/>
        <w:rPr>
          <w:rFonts w:ascii="Times New Roman"/>
          <w:kern w:val="2"/>
          <w:sz w:val="32"/>
          <w:szCs w:val="32"/>
        </w:rPr>
      </w:pPr>
      <w:r>
        <w:rPr>
          <w:rFonts w:hint="eastAsia" w:ascii="楷体_GB2312" w:hAnsi="方正楷体_GBK" w:eastAsia="楷体_GB2312" w:cs="方正楷体_GBK"/>
          <w:sz w:val="32"/>
          <w:szCs w:val="32"/>
          <w:shd w:val="clear" w:color="auto" w:fill="FFFFFF"/>
        </w:rPr>
        <w:t>（二）标准执行不到位，产品质量差异较大。</w:t>
      </w:r>
      <w:r>
        <w:rPr>
          <w:rFonts w:hint="eastAsia" w:ascii="Times New Roman"/>
          <w:kern w:val="2"/>
          <w:sz w:val="32"/>
          <w:szCs w:val="32"/>
        </w:rPr>
        <w:t>虽制定有茶叶生产、加工技术规程和产品质量标准，但部分企业、主体执行标准较差，没有严格按标生产，产品质量差异较大。以广元黄茶为例，部分用标企业生产的广元黄茶为芽型茶、扁形茶，与广元黄茶外形标准小兰花型不符。也还存在个别企业加工工艺不精，产品品质达不到广元黄茶外形金黄、叶底玉黄、汤色鹅黄的要求。</w:t>
      </w:r>
    </w:p>
    <w:p>
      <w:pPr>
        <w:pStyle w:val="2"/>
        <w:spacing w:before="93" w:line="600" w:lineRule="exact"/>
        <w:ind w:firstLine="640" w:firstLineChars="200"/>
        <w:rPr>
          <w:rFonts w:ascii="Times New Roman"/>
          <w:kern w:val="2"/>
          <w:sz w:val="32"/>
          <w:szCs w:val="32"/>
        </w:rPr>
      </w:pPr>
      <w:r>
        <w:rPr>
          <w:rFonts w:hint="eastAsia" w:ascii="楷体_GB2312" w:hAnsi="方正楷体_GBK" w:eastAsia="楷体_GB2312" w:cs="方正楷体_GBK"/>
          <w:sz w:val="32"/>
          <w:szCs w:val="32"/>
          <w:shd w:val="clear" w:color="auto" w:fill="FFFFFF"/>
        </w:rPr>
        <w:t>（三）加工体系不完善，精深加工比例不高。</w:t>
      </w:r>
      <w:r>
        <w:rPr>
          <w:rFonts w:hint="eastAsia" w:ascii="Times New Roman"/>
          <w:kern w:val="2"/>
          <w:sz w:val="32"/>
          <w:szCs w:val="32"/>
        </w:rPr>
        <w:t>除少数国省龙头企业外，其余主体茶叶加工自动化、精制化程度低，工艺较粗糙，全市精制茶比例仅占40%。缺乏有实力的主体开展茶叶深加工，茶粉、茶叶内含物提取物、新式茶饮、茶文创产品等深加工产品开发尚未起步。</w:t>
      </w:r>
    </w:p>
    <w:p>
      <w:pPr>
        <w:pStyle w:val="2"/>
        <w:spacing w:before="93" w:line="600" w:lineRule="exact"/>
        <w:ind w:firstLine="640" w:firstLineChars="200"/>
        <w:rPr>
          <w:rFonts w:ascii="黑体" w:hAnsi="宋体"/>
          <w:sz w:val="32"/>
          <w:szCs w:val="32"/>
          <w:lang w:val="zh-CN"/>
        </w:rPr>
      </w:pPr>
      <w:r>
        <w:rPr>
          <w:rFonts w:hint="eastAsia" w:ascii="黑体" w:hAnsi="宋体" w:eastAsia="黑体"/>
          <w:position w:val="3"/>
          <w:sz w:val="32"/>
          <w:szCs w:val="32"/>
          <w:lang w:val="zh-CN"/>
        </w:rPr>
        <w:t>六、改进建议</w:t>
      </w:r>
    </w:p>
    <w:p>
      <w:pPr>
        <w:pStyle w:val="38"/>
        <w:spacing w:line="578" w:lineRule="exact"/>
        <w:ind w:firstLine="645"/>
        <w:jc w:val="left"/>
        <w:rPr>
          <w:rFonts w:ascii="仿宋_GB2312" w:hAnsi="仿宋_GB2312" w:cs="仿宋_GB2312"/>
          <w:sz w:val="32"/>
          <w:szCs w:val="32"/>
          <w:lang w:val="en-US"/>
        </w:rPr>
      </w:pPr>
      <w:r>
        <w:rPr>
          <w:rFonts w:hint="eastAsia" w:ascii="仿宋_GB2312" w:hAnsi="仿宋_GB2312" w:cs="仿宋_GB2312"/>
          <w:sz w:val="32"/>
          <w:szCs w:val="32"/>
          <w:lang w:val="en-US"/>
        </w:rPr>
        <w:t>一是改造一批低产低效茶园、提升一批标准化茶园，提高茶园产能，2024年实现茶叶产量1.95万吨，综合效益80亿元以上。二是按照“有标按标、缺标补标、低标提标”的原则，确保2024年茶叶有机认证基地稳定在2万亩以上、认证产品50个以上。三是坚持发展已被市场认可、最具地方优势的名优茶，提高名优茶精制水平。加大夏秋茶开发利用，推进茶产品深度开发，满足多样化消费需求。</w:t>
      </w:r>
    </w:p>
    <w:p>
      <w:pPr>
        <w:pStyle w:val="38"/>
        <w:spacing w:line="578" w:lineRule="exact"/>
        <w:ind w:firstLine="645"/>
        <w:jc w:val="center"/>
        <w:rPr>
          <w:rFonts w:ascii="仿宋_GB2312" w:hAnsi="仿宋_GB2312" w:cs="仿宋_GB2312"/>
          <w:sz w:val="32"/>
          <w:szCs w:val="32"/>
          <w:lang w:val="en-US"/>
        </w:rPr>
      </w:pPr>
    </w:p>
    <w:p>
      <w:pPr>
        <w:pStyle w:val="38"/>
        <w:spacing w:line="578" w:lineRule="exact"/>
        <w:ind w:firstLine="645"/>
        <w:jc w:val="center"/>
        <w:rPr>
          <w:rFonts w:ascii="仿宋_GB2312" w:hAnsi="仿宋_GB2312" w:cs="仿宋_GB2312"/>
          <w:sz w:val="32"/>
          <w:szCs w:val="32"/>
          <w:lang w:val="en-US"/>
        </w:rPr>
      </w:pPr>
    </w:p>
    <w:p>
      <w:pPr>
        <w:pStyle w:val="38"/>
        <w:spacing w:line="578" w:lineRule="exact"/>
        <w:ind w:firstLine="645"/>
        <w:jc w:val="center"/>
        <w:rPr>
          <w:rFonts w:ascii="仿宋_GB2312" w:hAnsi="仿宋_GB2312" w:cs="仿宋_GB2312"/>
          <w:sz w:val="32"/>
          <w:szCs w:val="32"/>
          <w:lang w:val="en-US"/>
        </w:rPr>
      </w:pPr>
    </w:p>
    <w:p>
      <w:pPr>
        <w:pStyle w:val="38"/>
        <w:spacing w:line="578" w:lineRule="exact"/>
        <w:ind w:firstLine="645"/>
        <w:jc w:val="center"/>
        <w:rPr>
          <w:rFonts w:ascii="仿宋_GB2312" w:hAnsi="仿宋_GB2312" w:cs="仿宋_GB2312"/>
          <w:sz w:val="32"/>
          <w:szCs w:val="32"/>
          <w:lang w:val="en-US"/>
        </w:rPr>
      </w:pPr>
    </w:p>
    <w:p>
      <w:pPr>
        <w:pStyle w:val="38"/>
        <w:spacing w:line="578" w:lineRule="exact"/>
        <w:ind w:firstLine="645"/>
        <w:jc w:val="center"/>
        <w:rPr>
          <w:rFonts w:ascii="仿宋_GB2312" w:hAnsi="仿宋_GB2312" w:cs="仿宋_GB2312"/>
          <w:sz w:val="32"/>
          <w:szCs w:val="32"/>
          <w:lang w:val="en-US"/>
        </w:rPr>
      </w:pPr>
    </w:p>
    <w:p>
      <w:pPr>
        <w:pStyle w:val="38"/>
        <w:spacing w:line="578" w:lineRule="exact"/>
        <w:ind w:firstLine="645"/>
        <w:jc w:val="center"/>
        <w:rPr>
          <w:rFonts w:ascii="仿宋_GB2312" w:hAnsi="仿宋_GB2312" w:cs="仿宋_GB2312"/>
          <w:sz w:val="32"/>
          <w:szCs w:val="32"/>
          <w:lang w:val="en-US"/>
        </w:rPr>
      </w:pPr>
    </w:p>
    <w:p>
      <w:pPr>
        <w:pStyle w:val="38"/>
        <w:spacing w:line="578" w:lineRule="exact"/>
        <w:ind w:firstLine="645"/>
        <w:jc w:val="center"/>
        <w:rPr>
          <w:rFonts w:ascii="仿宋_GB2312" w:hAnsi="仿宋_GB2312" w:cs="仿宋_GB2312"/>
          <w:sz w:val="32"/>
          <w:szCs w:val="32"/>
          <w:lang w:val="en-US"/>
        </w:rPr>
      </w:pPr>
    </w:p>
    <w:p>
      <w:pPr>
        <w:pStyle w:val="38"/>
        <w:spacing w:line="578" w:lineRule="exact"/>
        <w:ind w:firstLine="645"/>
        <w:jc w:val="center"/>
        <w:rPr>
          <w:rFonts w:ascii="仿宋_GB2312" w:hAnsi="仿宋_GB2312" w:cs="仿宋_GB2312"/>
          <w:sz w:val="32"/>
          <w:szCs w:val="32"/>
          <w:lang w:val="en-US"/>
        </w:rPr>
      </w:pPr>
    </w:p>
    <w:p>
      <w:pPr>
        <w:pStyle w:val="38"/>
        <w:spacing w:line="578" w:lineRule="exact"/>
        <w:ind w:firstLine="645"/>
        <w:jc w:val="center"/>
        <w:rPr>
          <w:rFonts w:ascii="仿宋_GB2312" w:hAnsi="仿宋_GB2312" w:cs="仿宋_GB2312"/>
          <w:sz w:val="32"/>
          <w:szCs w:val="32"/>
          <w:lang w:val="en-US"/>
        </w:rPr>
      </w:pPr>
    </w:p>
    <w:p>
      <w:pPr>
        <w:pStyle w:val="38"/>
        <w:spacing w:line="578" w:lineRule="exact"/>
        <w:ind w:firstLine="645"/>
        <w:jc w:val="center"/>
        <w:rPr>
          <w:rFonts w:ascii="仿宋_GB2312" w:hAnsi="仿宋_GB2312" w:cs="仿宋_GB2312"/>
          <w:sz w:val="32"/>
          <w:szCs w:val="32"/>
          <w:lang w:val="en-US"/>
        </w:rPr>
      </w:pPr>
    </w:p>
    <w:p>
      <w:pPr>
        <w:pStyle w:val="38"/>
        <w:spacing w:line="578" w:lineRule="exact"/>
        <w:ind w:firstLine="645"/>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关于国资监管项目经费的绩效评价报告</w:t>
      </w:r>
    </w:p>
    <w:p>
      <w:pPr>
        <w:pStyle w:val="38"/>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（一）设立背景及基本情况。</w:t>
      </w:r>
      <w:r>
        <w:rPr>
          <w:rFonts w:hint="eastAsia" w:ascii="仿宋_GB2312" w:hAnsi="仿宋_GB2312" w:cs="仿宋_GB2312"/>
          <w:kern w:val="0"/>
          <w:szCs w:val="32"/>
          <w:shd w:val="clear" w:color="auto" w:fill="FFFFFF"/>
        </w:rPr>
        <w:t>本项目的主要内容是开展国资监管相关工作，一是用于法律咨询服务，二是用于开展市属企业工资、财务预决算专题培训等，三是用于开展信息化服务工作，四是开展人才引进工作，五是持续推动十四五规划落实，六是国企党建服务中心建设等国资监管相关工作。</w:t>
      </w:r>
    </w:p>
    <w:p>
      <w:pPr>
        <w:adjustRightInd w:val="0"/>
        <w:snapToGrid w:val="0"/>
        <w:spacing w:line="578" w:lineRule="exact"/>
        <w:ind w:left="320" w:leftChars="100" w:firstLine="321" w:firstLineChars="100"/>
        <w:rPr>
          <w:rFonts w:ascii="楷体_GB2312" w:hAnsi="宋体" w:eastAsia="楷体_GB2312"/>
          <w:b/>
          <w:lang w:val="zh-CN"/>
        </w:rPr>
      </w:pPr>
      <w:r>
        <w:rPr>
          <w:rFonts w:hint="eastAsia" w:ascii="楷体_GB2312" w:hAnsi="宋体" w:eastAsia="楷体_GB2312"/>
          <w:b/>
          <w:szCs w:val="32"/>
          <w:lang w:val="zh-CN"/>
        </w:rPr>
        <w:t>（二）</w:t>
      </w:r>
      <w:r>
        <w:rPr>
          <w:rFonts w:ascii="楷体_GB2312" w:hAnsi="宋体" w:eastAsia="楷体_GB2312"/>
          <w:b/>
          <w:szCs w:val="32"/>
        </w:rPr>
        <w:t>实施目的及支持方向</w:t>
      </w:r>
      <w:r>
        <w:rPr>
          <w:rFonts w:hint="eastAsia" w:ascii="楷体_GB2312" w:hAnsi="宋体" w:eastAsia="楷体_GB2312"/>
          <w:b/>
          <w:szCs w:val="32"/>
        </w:rPr>
        <w:t>。</w:t>
      </w:r>
      <w:r>
        <w:rPr>
          <w:rFonts w:hint="eastAsia" w:ascii="仿宋_GB2312" w:hAnsi="仿宋_GB2312" w:cs="仿宋_GB2312"/>
          <w:kern w:val="0"/>
          <w:szCs w:val="32"/>
          <w:shd w:val="clear" w:color="auto" w:fill="FFFFFF"/>
        </w:rPr>
        <w:t>项目资金</w:t>
      </w:r>
      <w:r>
        <w:rPr>
          <w:rFonts w:hint="eastAsia" w:ascii="仿宋_GB2312" w:hAnsi="仿宋_GB2312" w:cs="仿宋_GB2312"/>
          <w:kern w:val="0"/>
          <w:szCs w:val="32"/>
          <w:shd w:val="clear" w:color="auto" w:fill="FFFFFF"/>
          <w:lang w:val="zh-CN"/>
        </w:rPr>
        <w:t>管理办法严格按照财务管理制度执行，全面保障国资监管工作经费，为我市国有资产监督管理工作的开展奠定了坚实基础。</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（三）</w:t>
      </w:r>
      <w:r>
        <w:rPr>
          <w:rFonts w:ascii="楷体_GB2312" w:hAnsi="宋体" w:eastAsia="楷体_GB2312"/>
          <w:b/>
          <w:szCs w:val="32"/>
        </w:rPr>
        <w:t>预算安排及分配管理</w:t>
      </w:r>
      <w:r>
        <w:rPr>
          <w:rFonts w:hint="eastAsia" w:ascii="楷体_GB2312" w:hAnsi="宋体" w:eastAsia="楷体_GB2312"/>
          <w:b/>
          <w:szCs w:val="32"/>
          <w:lang w:val="zh-CN"/>
        </w:rPr>
        <w:t>。</w:t>
      </w:r>
      <w:r>
        <w:rPr>
          <w:rFonts w:hint="eastAsia" w:ascii="仿宋_GB2312" w:hAnsi="仿宋_GB2312" w:cs="仿宋_GB2312"/>
          <w:kern w:val="0"/>
          <w:szCs w:val="32"/>
          <w:shd w:val="clear" w:color="auto" w:fill="FFFFFF"/>
          <w:lang w:val="zh-CN"/>
        </w:rPr>
        <w:t>项目预算均来源于年初预算，属财政全额拨款项目，项目按照中央、省、市相关制度规定的标准执行。</w:t>
      </w:r>
    </w:p>
    <w:p>
      <w:pPr>
        <w:adjustRightInd w:val="0"/>
        <w:snapToGrid w:val="0"/>
        <w:spacing w:line="578" w:lineRule="exact"/>
        <w:ind w:firstLine="642" w:firstLineChars="200"/>
        <w:rPr>
          <w:rFonts w:ascii="仿宋_GB2312" w:hAnsi="仿宋_GB2312" w:cs="仿宋_GB2312"/>
          <w:kern w:val="0"/>
          <w:shd w:val="clear" w:color="auto" w:fill="FFFFFF"/>
          <w:lang w:val="zh-CN"/>
        </w:rPr>
      </w:pPr>
      <w:r>
        <w:rPr>
          <w:rFonts w:hint="eastAsia" w:ascii="楷体_GB2312" w:hAnsi="宋体" w:eastAsia="楷体_GB2312"/>
          <w:b/>
          <w:szCs w:val="32"/>
          <w:lang w:val="zh-CN"/>
        </w:rPr>
        <w:t>（四）项目绩效目标设置。</w:t>
      </w:r>
      <w:r>
        <w:rPr>
          <w:rFonts w:hint="eastAsia" w:ascii="仿宋_GB2312" w:hAnsi="仿宋_GB2312" w:cs="仿宋_GB2312"/>
          <w:kern w:val="0"/>
          <w:szCs w:val="32"/>
          <w:shd w:val="clear" w:color="auto" w:fill="FFFFFF"/>
          <w:lang w:val="zh-CN"/>
        </w:rPr>
        <w:t>根据项目实施情况，设置新引进人员、指导企业数量、网络安全检测覆盖率、国资监管水平提升率、国有资产安全率、监管企业满意度、人才引进经费支出、信息化服务费用等绩效目标。2023年全市国资国企紧紧围绕市委“1345”发展战略，主要经济指标稳步增长，综合实力明显增强，优化重组全面推开，治理体系持续健全，监管水平能力大幅度提升，风险防控有力有效，安全发展底线持续筑牢，国资监管水平能力大幅度提升，自评100分。</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pPr>
      <w:r>
        <w:rPr>
          <w:rFonts w:hint="eastAsia" w:ascii="楷体_GB2312" w:hAnsi="宋体" w:eastAsia="楷体_GB2312"/>
          <w:b/>
          <w:szCs w:val="32"/>
          <w:lang w:val="zh-CN"/>
        </w:rPr>
        <w:t>（一）评价目的。</w:t>
      </w:r>
      <w:r>
        <w:rPr>
          <w:szCs w:val="32"/>
        </w:rPr>
        <w:t>通过</w:t>
      </w:r>
      <w:r>
        <w:rPr>
          <w:rFonts w:hint="eastAsia"/>
          <w:szCs w:val="32"/>
        </w:rPr>
        <w:t>项目绩效自评，可以及时发现项目实施过程中存在的问题，加强项目的自主监督和管理，提高项目管理能力；可以直观了解项目的实际状态，为类似项目的管理和资金使用提供丰富经验和运行建议。</w:t>
      </w:r>
    </w:p>
    <w:p>
      <w:pPr>
        <w:adjustRightInd w:val="0"/>
        <w:snapToGrid w:val="0"/>
        <w:spacing w:line="578" w:lineRule="exact"/>
        <w:ind w:firstLine="642" w:firstLineChars="200"/>
      </w:pPr>
      <w:r>
        <w:rPr>
          <w:rFonts w:hint="eastAsia" w:ascii="楷体_GB2312" w:hAnsi="宋体" w:eastAsia="楷体_GB2312"/>
          <w:b/>
          <w:szCs w:val="32"/>
          <w:lang w:val="zh-CN"/>
        </w:rPr>
        <w:t>（二）预设问题及评价重点。</w:t>
      </w:r>
      <w:r>
        <w:rPr>
          <w:rFonts w:hint="eastAsia"/>
          <w:szCs w:val="32"/>
        </w:rPr>
        <w:t>按照绩效评价指标体系，我委对项目资金支出使用全过程进行监督，按时评估资金进度，对按时完成项目目标提供有力监督，有效控制了项目实施成本。</w:t>
      </w:r>
    </w:p>
    <w:p>
      <w:pPr>
        <w:adjustRightInd w:val="0"/>
        <w:snapToGrid w:val="0"/>
        <w:spacing w:line="578" w:lineRule="exact"/>
        <w:ind w:firstLine="642" w:firstLineChars="200"/>
        <w:rPr>
          <w:lang w:val="zh-CN"/>
        </w:rPr>
      </w:pPr>
      <w:r>
        <w:rPr>
          <w:rFonts w:hint="eastAsia" w:ascii="楷体_GB2312" w:hAnsi="宋体" w:eastAsia="楷体_GB2312"/>
          <w:b/>
          <w:szCs w:val="32"/>
          <w:lang w:val="zh-CN"/>
        </w:rPr>
        <w:t>（三）评价选点。</w:t>
      </w:r>
      <w:r>
        <w:rPr>
          <w:rFonts w:hint="eastAsia"/>
          <w:szCs w:val="32"/>
          <w:lang w:val="zh-CN"/>
        </w:rPr>
        <w:t>根据</w:t>
      </w:r>
      <w:r>
        <w:rPr>
          <w:rFonts w:hint="eastAsia" w:ascii="仿宋_GB2312" w:hAnsi="仿宋_GB2312" w:cs="仿宋_GB2312"/>
          <w:kern w:val="0"/>
          <w:szCs w:val="32"/>
          <w:shd w:val="clear" w:color="auto" w:fill="FFFFFF"/>
          <w:lang w:val="zh-CN"/>
        </w:rPr>
        <w:t>新引进人员、指导企业数量、网络安全检测覆盖率、国资监管水平提升率、国有资产安全率、监管企业满意度、人才引进经费支出、信息化服务费用</w:t>
      </w:r>
      <w:r>
        <w:rPr>
          <w:rFonts w:hint="eastAsia"/>
          <w:szCs w:val="32"/>
          <w:lang w:val="zh-CN"/>
        </w:rPr>
        <w:t>等指标进行全方位评价。</w:t>
      </w:r>
    </w:p>
    <w:p>
      <w:pPr>
        <w:spacing w:line="578" w:lineRule="exact"/>
        <w:ind w:firstLine="640"/>
      </w:pPr>
      <w:r>
        <w:rPr>
          <w:rFonts w:hint="eastAsia" w:ascii="楷体_GB2312" w:hAnsi="宋体" w:eastAsia="楷体_GB2312"/>
          <w:b/>
          <w:szCs w:val="32"/>
          <w:lang w:val="zh-CN"/>
        </w:rPr>
        <w:t>（四）评价方法。</w:t>
      </w:r>
      <w:r>
        <w:rPr>
          <w:rFonts w:hint="eastAsia"/>
          <w:szCs w:val="32"/>
        </w:rPr>
        <w:t>主要</w:t>
      </w:r>
      <w:r>
        <w:rPr>
          <w:szCs w:val="32"/>
        </w:rPr>
        <w:t>采用</w:t>
      </w:r>
      <w:r>
        <w:rPr>
          <w:rFonts w:hint="eastAsia"/>
          <w:szCs w:val="32"/>
        </w:rPr>
        <w:t>成本效益分析法</w:t>
      </w:r>
      <w:r>
        <w:rPr>
          <w:szCs w:val="32"/>
        </w:rPr>
        <w:t>、单位自评法等方法</w:t>
      </w:r>
      <w:r>
        <w:rPr>
          <w:rFonts w:hint="eastAsia"/>
          <w:szCs w:val="32"/>
        </w:rPr>
        <w:t>。</w:t>
      </w:r>
    </w:p>
    <w:p>
      <w:pPr>
        <w:spacing w:line="578" w:lineRule="exact"/>
        <w:ind w:firstLine="640"/>
        <w:rPr>
          <w:bCs/>
        </w:rPr>
      </w:pPr>
      <w:r>
        <w:rPr>
          <w:rFonts w:hint="eastAsia" w:ascii="楷体_GB2312" w:hAnsi="宋体" w:eastAsia="楷体_GB2312"/>
          <w:b/>
          <w:szCs w:val="32"/>
          <w:lang w:val="zh-CN"/>
        </w:rPr>
        <w:t>（五）评价组织。</w:t>
      </w:r>
      <w:r>
        <w:rPr>
          <w:rFonts w:hint="eastAsia"/>
          <w:szCs w:val="32"/>
        </w:rPr>
        <w:t>项目由办公室实施，由财务负责人、相关分管领导进行评价。</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宋体" w:eastAsia="楷体_GB2312"/>
          <w:b/>
        </w:rPr>
      </w:pPr>
      <w:r>
        <w:rPr>
          <w:rFonts w:hint="eastAsia" w:ascii="楷体_GB2312" w:hAnsi="宋体" w:eastAsia="楷体_GB2312"/>
          <w:b/>
          <w:szCs w:val="32"/>
          <w:lang w:val="zh-CN"/>
        </w:rPr>
        <w:t>（一）</w:t>
      </w:r>
      <w:r>
        <w:rPr>
          <w:rFonts w:hint="eastAsia" w:ascii="楷体_GB2312" w:hAnsi="宋体" w:eastAsia="楷体_GB2312"/>
          <w:b/>
          <w:szCs w:val="32"/>
        </w:rPr>
        <w:t>通用指标</w:t>
      </w:r>
      <w:r>
        <w:rPr>
          <w:rFonts w:eastAsia="楷体_GB2312"/>
          <w:b/>
          <w:bCs/>
          <w:color w:val="000000"/>
          <w:kern w:val="0"/>
          <w:szCs w:val="32"/>
          <w:shd w:val="clear" w:color="auto" w:fill="FFFFFF"/>
          <w:lang w:val="zh-CN"/>
        </w:rPr>
        <w:t>绩效分析。</w:t>
      </w:r>
    </w:p>
    <w:p>
      <w:pPr>
        <w:spacing w:line="578" w:lineRule="exact"/>
        <w:ind w:firstLine="640"/>
      </w:pPr>
      <w:r>
        <w:rPr>
          <w:rFonts w:hint="eastAsia" w:ascii="楷体_GB2312" w:hAnsi="楷体_GB2312" w:eastAsia="楷体_GB2312" w:cs="楷体_GB2312"/>
          <w:szCs w:val="32"/>
        </w:rPr>
        <w:t>1.项目决策。</w:t>
      </w:r>
      <w:r>
        <w:rPr>
          <w:rFonts w:hint="eastAsia" w:ascii="仿宋_GB2312" w:hAnsi="仿宋_GB2312" w:cs="仿宋_GB2312"/>
          <w:kern w:val="0"/>
          <w:szCs w:val="32"/>
          <w:shd w:val="clear" w:color="auto" w:fill="FFFFFF"/>
          <w:lang w:val="zh-CN"/>
        </w:rPr>
        <w:t>项目按照相关制度规定执行，全力</w:t>
      </w:r>
      <w:r>
        <w:rPr>
          <w:rFonts w:hint="eastAsia" w:ascii="仿宋_GB2312" w:hAnsi="仿宋_GB2312" w:cs="仿宋_GB2312"/>
          <w:kern w:val="0"/>
          <w:szCs w:val="32"/>
          <w:shd w:val="clear" w:color="auto" w:fill="FFFFFF"/>
        </w:rPr>
        <w:t>完成市纪委监委下达的各项目标任务</w:t>
      </w:r>
      <w:r>
        <w:rPr>
          <w:rFonts w:hint="eastAsia" w:ascii="仿宋_GB2312" w:hAnsi="仿宋_GB2312" w:cs="仿宋_GB2312"/>
          <w:kern w:val="0"/>
          <w:szCs w:val="32"/>
          <w:shd w:val="clear" w:color="auto" w:fill="FFFFFF"/>
          <w:lang w:val="zh-CN"/>
        </w:rPr>
        <w:t>，项目</w:t>
      </w:r>
      <w:r>
        <w:rPr>
          <w:rFonts w:hint="eastAsia"/>
          <w:szCs w:val="32"/>
        </w:rPr>
        <w:t>决策程序规范、规划论证严密、资金投向合规。自评18分。</w:t>
      </w:r>
    </w:p>
    <w:p>
      <w:pPr>
        <w:spacing w:line="578" w:lineRule="exact"/>
        <w:ind w:firstLine="640"/>
      </w:pPr>
      <w:r>
        <w:rPr>
          <w:rFonts w:hint="eastAsia" w:ascii="楷体_GB2312" w:hAnsi="楷体_GB2312" w:eastAsia="楷体_GB2312" w:cs="楷体_GB2312"/>
          <w:szCs w:val="32"/>
        </w:rPr>
        <w:t>2.项目管理。</w:t>
      </w:r>
      <w:r>
        <w:rPr>
          <w:rFonts w:hint="eastAsia"/>
          <w:szCs w:val="32"/>
          <w:lang w:val="zh-CN"/>
        </w:rPr>
        <w:t>资金管理办法等管理制度体系健全完善，不存在管理制度缺失现象，资金分配管理经过前期充分调研，管理规范合理，实施全过程进行监控</w:t>
      </w:r>
      <w:r>
        <w:rPr>
          <w:rFonts w:hint="eastAsia"/>
          <w:szCs w:val="32"/>
        </w:rPr>
        <w:t>。自评18分。</w:t>
      </w:r>
    </w:p>
    <w:p>
      <w:pPr>
        <w:spacing w:line="578" w:lineRule="exact"/>
        <w:ind w:firstLine="640"/>
        <w:rPr>
          <w:lang w:val="zh-CN"/>
        </w:rPr>
      </w:pPr>
      <w:r>
        <w:rPr>
          <w:rFonts w:hint="eastAsia" w:ascii="楷体_GB2312" w:hAnsi="楷体_GB2312" w:eastAsia="楷体_GB2312" w:cs="楷体_GB2312"/>
          <w:szCs w:val="32"/>
        </w:rPr>
        <w:t>3.项目实施。</w:t>
      </w:r>
      <w:r>
        <w:rPr>
          <w:rFonts w:hint="eastAsia"/>
          <w:szCs w:val="32"/>
          <w:lang w:val="zh-CN"/>
        </w:rPr>
        <w:t>该项目经费来源于财政拨款，纳入</w:t>
      </w:r>
      <w:r>
        <w:rPr>
          <w:rFonts w:hint="eastAsia"/>
          <w:szCs w:val="32"/>
        </w:rPr>
        <w:t>2023年预算中，资金到位及时率100%，资金使用符合国家财经法规、财务管理制度及有关专项资金管理制度办法规定和审批程序</w:t>
      </w:r>
      <w:r>
        <w:rPr>
          <w:rFonts w:hint="eastAsia"/>
          <w:szCs w:val="32"/>
          <w:lang w:val="zh-CN"/>
        </w:rPr>
        <w:t>。</w:t>
      </w:r>
      <w:r>
        <w:rPr>
          <w:rFonts w:hint="eastAsia"/>
          <w:szCs w:val="32"/>
        </w:rPr>
        <w:t>自评9分。</w:t>
      </w:r>
    </w:p>
    <w:p>
      <w:pPr>
        <w:spacing w:line="578" w:lineRule="exact"/>
        <w:ind w:firstLine="640"/>
        <w:rPr>
          <w:lang w:val="zh-CN"/>
        </w:rPr>
      </w:pPr>
      <w:r>
        <w:rPr>
          <w:rFonts w:hint="eastAsia" w:ascii="楷体_GB2312" w:hAnsi="楷体_GB2312" w:eastAsia="楷体_GB2312" w:cs="楷体_GB2312"/>
          <w:szCs w:val="32"/>
        </w:rPr>
        <w:t>4.项目结果。</w:t>
      </w:r>
      <w:r>
        <w:rPr>
          <w:rFonts w:hint="eastAsia"/>
          <w:szCs w:val="32"/>
        </w:rPr>
        <w:t>项目完成预期目标，实施结果与绩效目标相匹配。自评9分。</w:t>
      </w:r>
    </w:p>
    <w:p>
      <w:pPr>
        <w:spacing w:line="578" w:lineRule="exact"/>
        <w:ind w:firstLine="642" w:firstLineChars="200"/>
        <w:rPr>
          <w:rFonts w:ascii="楷体_GB2312" w:hAnsi="楷体_GB2312" w:eastAsia="楷体_GB2312" w:cs="楷体_GB2312"/>
          <w:lang w:val="zh-CN"/>
        </w:rPr>
      </w:pPr>
      <w:r>
        <w:rPr>
          <w:rFonts w:hint="eastAsia" w:ascii="楷体_GB2312" w:hAnsi="宋体" w:eastAsia="楷体_GB2312"/>
          <w:b/>
          <w:szCs w:val="32"/>
          <w:lang w:val="zh-CN"/>
        </w:rPr>
        <w:t>（二）</w:t>
      </w:r>
      <w:r>
        <w:rPr>
          <w:rFonts w:hint="eastAsia" w:ascii="楷体_GB2312" w:hAnsi="宋体" w:eastAsia="楷体_GB2312"/>
          <w:b/>
          <w:szCs w:val="32"/>
        </w:rPr>
        <w:t>专用指标</w:t>
      </w:r>
      <w:r>
        <w:rPr>
          <w:rFonts w:eastAsia="楷体_GB2312"/>
          <w:b/>
          <w:bCs/>
          <w:color w:val="000000"/>
          <w:kern w:val="0"/>
          <w:szCs w:val="32"/>
          <w:shd w:val="clear" w:color="auto" w:fill="FFFFFF"/>
          <w:lang w:val="zh-CN"/>
        </w:rPr>
        <w:t>绩效分析。</w:t>
      </w:r>
    </w:p>
    <w:p>
      <w:pPr>
        <w:spacing w:line="578" w:lineRule="exact"/>
        <w:ind w:firstLine="640" w:firstLineChars="200"/>
      </w:pPr>
      <w:r>
        <w:rPr>
          <w:rFonts w:hint="eastAsia" w:ascii="楷体_GB2312" w:hAnsi="楷体_GB2312" w:eastAsia="楷体_GB2312" w:cs="楷体_GB2312"/>
          <w:szCs w:val="32"/>
          <w:lang w:val="zh-CN"/>
        </w:rPr>
        <w:t>行政运转。</w:t>
      </w:r>
      <w:r>
        <w:rPr>
          <w:rFonts w:hint="eastAsia"/>
          <w:szCs w:val="32"/>
          <w:lang w:val="zh-CN"/>
        </w:rPr>
        <w:t>用途合规性方面，纪检组严格按规定用途、适用范围进行专项资金分配；程序合规性方面，资金管理程序符合专项资金管理要求；标准合规性方面，资金分配标准符合专项资金管理要求。</w:t>
      </w:r>
      <w:r>
        <w:rPr>
          <w:rFonts w:hint="eastAsia"/>
          <w:szCs w:val="32"/>
        </w:rPr>
        <w:t>自评30分。</w:t>
      </w:r>
    </w:p>
    <w:p>
      <w:pPr>
        <w:spacing w:line="578" w:lineRule="exact"/>
        <w:ind w:firstLine="640"/>
        <w:rPr>
          <w:szCs w:val="32"/>
        </w:rPr>
      </w:pPr>
      <w:r>
        <w:rPr>
          <w:rFonts w:hint="eastAsia" w:ascii="楷体_GB2312" w:hAnsi="宋体" w:eastAsia="楷体_GB2312"/>
          <w:b/>
          <w:szCs w:val="32"/>
          <w:lang w:val="zh-CN"/>
        </w:rPr>
        <w:t>（三）</w:t>
      </w:r>
      <w:r>
        <w:rPr>
          <w:rFonts w:hint="eastAsia" w:ascii="楷体_GB2312" w:hAnsi="宋体" w:eastAsia="楷体_GB2312"/>
          <w:b/>
          <w:szCs w:val="32"/>
        </w:rPr>
        <w:t>个性指标</w:t>
      </w:r>
      <w:r>
        <w:rPr>
          <w:rFonts w:eastAsia="楷体_GB2312"/>
          <w:b/>
          <w:bCs/>
          <w:color w:val="000000"/>
          <w:kern w:val="0"/>
          <w:szCs w:val="32"/>
          <w:shd w:val="clear" w:color="auto" w:fill="FFFFFF"/>
          <w:lang w:val="zh-CN"/>
        </w:rPr>
        <w:t>绩效分析。</w:t>
      </w:r>
      <w:r>
        <w:rPr>
          <w:rFonts w:hint="eastAsia"/>
          <w:szCs w:val="32"/>
          <w:lang w:val="zh-CN"/>
        </w:rPr>
        <w:t>根据国资监管项目开展情况，个性自行设定部分指标完成情况如下：国资监管水平提升率高，国有资产安全率达到</w:t>
      </w:r>
      <w:r>
        <w:rPr>
          <w:rFonts w:hint="eastAsia"/>
          <w:szCs w:val="32"/>
        </w:rPr>
        <w:t>100%，监管企业满意度95%</w:t>
      </w:r>
      <w:r>
        <w:rPr>
          <w:rFonts w:hint="eastAsia"/>
          <w:szCs w:val="32"/>
          <w:lang w:val="zh-CN"/>
        </w:rPr>
        <w:t>。体现我委监管水平能力大幅度提升，风险防控有力有效，安全发展底线持续筑牢，国资监管水平能力大幅度提升。</w:t>
      </w:r>
      <w:r>
        <w:rPr>
          <w:rFonts w:hint="eastAsia"/>
          <w:szCs w:val="32"/>
        </w:rPr>
        <w:t>自评16分。</w:t>
      </w:r>
    </w:p>
    <w:p>
      <w:pPr>
        <w:spacing w:line="578" w:lineRule="exact"/>
        <w:ind w:firstLine="640"/>
        <w:rPr>
          <w:rFonts w:ascii="黑体" w:hAnsi="宋体" w:eastAsia="黑体"/>
          <w:szCs w:val="32"/>
        </w:rPr>
      </w:pPr>
      <w:r>
        <w:rPr>
          <w:rFonts w:hint="eastAsia" w:ascii="黑体" w:hAnsi="宋体" w:eastAsia="黑体"/>
          <w:szCs w:val="32"/>
        </w:rPr>
        <w:t>四、评价结论</w:t>
      </w:r>
    </w:p>
    <w:p>
      <w:pPr>
        <w:spacing w:line="578" w:lineRule="exact"/>
        <w:ind w:firstLine="640"/>
        <w:rPr>
          <w:rFonts w:ascii="仿宋_GB2312" w:hAnsi="仿宋_GB2312" w:cs="仿宋_GB2312"/>
          <w:kern w:val="0"/>
          <w:szCs w:val="32"/>
        </w:rPr>
      </w:pPr>
      <w:r>
        <w:rPr>
          <w:rFonts w:hint="eastAsia" w:ascii="仿宋_GB2312" w:hAnsi="仿宋_GB2312" w:cs="仿宋_GB2312"/>
          <w:kern w:val="0"/>
          <w:szCs w:val="32"/>
        </w:rPr>
        <w:t>2023年全市国资国企紧紧围绕市委“1345”发展战略，主要经济指标稳步增长，综合实力明显增强，优化重组全面推开，治理体系持续健全，监管水平能力大幅度提升，风险防控有力有效，安全发展底线持续筑牢，国资监管水平能力大幅度提升，自评总分100分。</w:t>
      </w:r>
    </w:p>
    <w:p>
      <w:pPr>
        <w:spacing w:line="578" w:lineRule="exact"/>
        <w:ind w:firstLine="640"/>
        <w:rPr>
          <w:rFonts w:ascii="黑体" w:hAnsi="黑体" w:eastAsia="黑体"/>
          <w:szCs w:val="32"/>
        </w:rPr>
      </w:pPr>
      <w:r>
        <w:rPr>
          <w:rFonts w:hint="eastAsia" w:ascii="黑体" w:hAnsi="黑体" w:eastAsia="黑体"/>
          <w:szCs w:val="32"/>
        </w:rPr>
        <w:t>五、存在主要问题</w:t>
      </w:r>
    </w:p>
    <w:p>
      <w:pPr>
        <w:spacing w:line="578" w:lineRule="exact"/>
        <w:ind w:firstLine="640"/>
        <w:rPr>
          <w:rFonts w:ascii="仿宋_GB2312" w:hAnsi="仿宋_GB2312" w:cs="仿宋_GB2312"/>
          <w:kern w:val="0"/>
          <w:szCs w:val="32"/>
        </w:rPr>
      </w:pPr>
      <w:r>
        <w:rPr>
          <w:rFonts w:hint="eastAsia" w:ascii="仿宋_GB2312" w:hAnsi="仿宋_GB2312" w:cs="仿宋_GB2312"/>
          <w:kern w:val="0"/>
          <w:szCs w:val="32"/>
        </w:rPr>
        <w:t>无。</w:t>
      </w:r>
    </w:p>
    <w:p>
      <w:pPr>
        <w:spacing w:line="578" w:lineRule="exact"/>
        <w:ind w:firstLine="640"/>
      </w:pPr>
      <w:r>
        <w:rPr>
          <w:rFonts w:hint="eastAsia" w:ascii="黑体" w:hAnsi="宋体" w:eastAsia="黑体"/>
          <w:kern w:val="0"/>
          <w:position w:val="3"/>
          <w:szCs w:val="32"/>
          <w:lang w:val="zh-CN"/>
        </w:rPr>
        <w:t>六、改进建议</w:t>
      </w:r>
    </w:p>
    <w:p>
      <w:pPr>
        <w:tabs>
          <w:tab w:val="left" w:pos="1911"/>
        </w:tabs>
        <w:jc w:val="left"/>
        <w:rPr>
          <w:rFonts w:ascii="仿宋_GB2312" w:hAnsi="仿宋_GB2312" w:cs="仿宋_GB2312"/>
          <w:kern w:val="0"/>
          <w:lang w:val="en"/>
        </w:rPr>
      </w:pPr>
      <w:r>
        <w:rPr>
          <w:rFonts w:hint="eastAsia" w:ascii="仿宋_GB2312" w:hAnsi="仿宋_GB2312" w:cs="仿宋_GB2312"/>
          <w:kern w:val="0"/>
          <w:szCs w:val="32"/>
          <w:shd w:val="clear" w:color="auto" w:fill="FFFFFF"/>
          <w:lang w:val="zh-CN"/>
        </w:rPr>
        <w:t xml:space="preserve"> </w:t>
      </w:r>
      <w:r>
        <w:rPr>
          <w:rFonts w:hint="eastAsia" w:ascii="仿宋_GB2312" w:hAnsi="仿宋_GB2312" w:cs="仿宋_GB2312"/>
          <w:kern w:val="0"/>
          <w:szCs w:val="32"/>
        </w:rPr>
        <w:t xml:space="preserve">   无。</w:t>
      </w: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p>
    <w:p>
      <w:pPr>
        <w:pStyle w:val="38"/>
        <w:spacing w:line="578" w:lineRule="exact"/>
        <w:jc w:val="center"/>
        <w:rPr>
          <w:rFonts w:hint="eastAsia" w:ascii="方正小标宋简体" w:hAnsi="方正小标宋简体" w:eastAsia="方正小标宋简体" w:cs="方正小标宋简体"/>
          <w:color w:val="auto"/>
          <w:kern w:val="2"/>
          <w:sz w:val="44"/>
          <w:szCs w:val="44"/>
          <w:lang w:val="en-US"/>
        </w:rPr>
      </w:pPr>
    </w:p>
    <w:p>
      <w:pPr>
        <w:pStyle w:val="38"/>
        <w:spacing w:line="578" w:lineRule="exact"/>
        <w:jc w:val="center"/>
        <w:rPr>
          <w:rFonts w:hint="eastAsia"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关于国企改革整合工作经费的绩效评价</w:t>
      </w:r>
    </w:p>
    <w:p>
      <w:pPr>
        <w:pStyle w:val="38"/>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报告</w:t>
      </w:r>
    </w:p>
    <w:p>
      <w:pPr>
        <w:pStyle w:val="38"/>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（一）设立背景及基本情况。</w:t>
      </w:r>
      <w:r>
        <w:rPr>
          <w:rFonts w:hint="eastAsia" w:ascii="仿宋_GB2312" w:hAnsi="仿宋_GB2312" w:cs="仿宋_GB2312"/>
          <w:kern w:val="0"/>
          <w:szCs w:val="32"/>
          <w:shd w:val="clear" w:color="auto" w:fill="FFFFFF"/>
        </w:rPr>
        <w:t>本项目的主要内容是开展2023年度国企改革整合工作。一是开展市属国有企业改革审计、资产清理评估；二是委托中介机构开展社会风险稳定风险评估，并对评估报告进行审查。</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（二）</w:t>
      </w:r>
      <w:r>
        <w:rPr>
          <w:rFonts w:ascii="楷体_GB2312" w:hAnsi="宋体" w:eastAsia="楷体_GB2312"/>
          <w:b/>
          <w:szCs w:val="32"/>
        </w:rPr>
        <w:t>实施目的及支持方向</w:t>
      </w:r>
      <w:r>
        <w:rPr>
          <w:rFonts w:hint="eastAsia" w:ascii="楷体_GB2312" w:hAnsi="宋体" w:eastAsia="楷体_GB2312"/>
          <w:b/>
          <w:szCs w:val="32"/>
        </w:rPr>
        <w:t>。</w:t>
      </w:r>
      <w:r>
        <w:rPr>
          <w:rFonts w:hint="eastAsia" w:ascii="仿宋_GB2312" w:hAnsi="仿宋_GB2312" w:cs="仿宋_GB2312"/>
          <w:kern w:val="0"/>
          <w:szCs w:val="32"/>
          <w:shd w:val="clear" w:color="auto" w:fill="FFFFFF"/>
        </w:rPr>
        <w:t>项目资金</w:t>
      </w:r>
      <w:r>
        <w:rPr>
          <w:rFonts w:hint="eastAsia" w:ascii="仿宋_GB2312" w:hAnsi="仿宋_GB2312" w:cs="仿宋_GB2312"/>
          <w:kern w:val="0"/>
          <w:szCs w:val="32"/>
          <w:shd w:val="clear" w:color="auto" w:fill="FFFFFF"/>
          <w:lang w:val="zh-CN"/>
        </w:rPr>
        <w:t>管理办法严格按照财务管理制度规定执行，全面保障国企改革整合工作开展，加快实施新一轮优化重组。</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（三）</w:t>
      </w:r>
      <w:r>
        <w:rPr>
          <w:rFonts w:ascii="楷体_GB2312" w:hAnsi="宋体" w:eastAsia="楷体_GB2312"/>
          <w:b/>
          <w:szCs w:val="32"/>
        </w:rPr>
        <w:t>预算安排及分配管理</w:t>
      </w:r>
      <w:r>
        <w:rPr>
          <w:rFonts w:hint="eastAsia" w:ascii="楷体_GB2312" w:hAnsi="宋体" w:eastAsia="楷体_GB2312"/>
          <w:b/>
          <w:szCs w:val="32"/>
          <w:lang w:val="zh-CN"/>
        </w:rPr>
        <w:t>。</w:t>
      </w:r>
      <w:r>
        <w:rPr>
          <w:rFonts w:hint="eastAsia" w:ascii="仿宋_GB2312" w:hAnsi="仿宋_GB2312" w:cs="仿宋_GB2312"/>
          <w:kern w:val="0"/>
          <w:szCs w:val="32"/>
          <w:shd w:val="clear" w:color="auto" w:fill="FFFFFF"/>
          <w:lang w:val="zh-CN"/>
        </w:rPr>
        <w:t>项目预算均来源于年初预算，属财政全额拨款项目，项目按照中央、省、市相关制度规定的标准执行。</w:t>
      </w:r>
    </w:p>
    <w:p>
      <w:pPr>
        <w:adjustRightInd w:val="0"/>
        <w:snapToGrid w:val="0"/>
        <w:spacing w:line="578" w:lineRule="exact"/>
        <w:ind w:firstLine="642" w:firstLineChars="200"/>
        <w:rPr>
          <w:rFonts w:ascii="仿宋_GB2312" w:hAnsi="仿宋_GB2312" w:cs="仿宋_GB2312"/>
          <w:kern w:val="0"/>
          <w:shd w:val="clear" w:color="auto" w:fill="FFFFFF"/>
          <w:lang w:val="zh-CN"/>
        </w:rPr>
      </w:pPr>
      <w:r>
        <w:rPr>
          <w:rFonts w:hint="eastAsia" w:ascii="楷体_GB2312" w:hAnsi="宋体" w:eastAsia="楷体_GB2312"/>
          <w:b/>
          <w:szCs w:val="32"/>
          <w:lang w:val="zh-CN"/>
        </w:rPr>
        <w:t>（四）项目绩效目标设置。</w:t>
      </w:r>
      <w:r>
        <w:rPr>
          <w:rFonts w:hint="eastAsia" w:ascii="仿宋_GB2312" w:hAnsi="仿宋_GB2312" w:cs="仿宋_GB2312"/>
          <w:kern w:val="0"/>
          <w:szCs w:val="32"/>
          <w:shd w:val="clear" w:color="auto" w:fill="FFFFFF"/>
          <w:lang w:val="zh-CN"/>
        </w:rPr>
        <w:t>根据项目实施情况，设置覆盖企业数量、评估次数、国企改革整合完成期间、对重大决策影响程度、企业满意度、稳定风险评估费用支出绩效目标。经过一年的国企改革整合，切实推动市属国有企业公司架构设置和专业化整合，产业发展板块和主责主业细分领域进一步明确，自评100分。</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pPr>
      <w:r>
        <w:rPr>
          <w:rFonts w:hint="eastAsia" w:ascii="楷体_GB2312" w:hAnsi="宋体" w:eastAsia="楷体_GB2312"/>
          <w:b/>
          <w:szCs w:val="32"/>
          <w:lang w:val="zh-CN"/>
        </w:rPr>
        <w:t>（一）评价目的。</w:t>
      </w:r>
      <w:r>
        <w:rPr>
          <w:szCs w:val="32"/>
        </w:rPr>
        <w:t>通过</w:t>
      </w:r>
      <w:r>
        <w:rPr>
          <w:rFonts w:hint="eastAsia"/>
          <w:szCs w:val="32"/>
        </w:rPr>
        <w:t>项目绩效自评，可以及时发现项目实施过程中存在的问题，加强项目的自主监督和管理，提高项目管理能力；可以直观了解项目的实际状态，为类似项目的管理和资金使用提供丰富经验和运行建议。</w:t>
      </w:r>
    </w:p>
    <w:p>
      <w:pPr>
        <w:adjustRightInd w:val="0"/>
        <w:snapToGrid w:val="0"/>
        <w:spacing w:line="578" w:lineRule="exact"/>
        <w:ind w:firstLine="642" w:firstLineChars="200"/>
      </w:pPr>
      <w:r>
        <w:rPr>
          <w:rFonts w:hint="eastAsia" w:ascii="楷体_GB2312" w:hAnsi="宋体" w:eastAsia="楷体_GB2312"/>
          <w:b/>
          <w:szCs w:val="32"/>
          <w:lang w:val="zh-CN"/>
        </w:rPr>
        <w:t>（二）预设问题及评价重点。</w:t>
      </w:r>
      <w:r>
        <w:rPr>
          <w:rFonts w:hint="eastAsia"/>
          <w:szCs w:val="32"/>
        </w:rPr>
        <w:t>按照绩效评价指标体系，我委对项目资金支出使用全过程进行监督，按时评估资金进度，对按时完成项目目标提供有力监督，有效控制了项目实施成本。</w:t>
      </w:r>
    </w:p>
    <w:p>
      <w:pPr>
        <w:adjustRightInd w:val="0"/>
        <w:snapToGrid w:val="0"/>
        <w:spacing w:line="578" w:lineRule="exact"/>
        <w:ind w:firstLine="642" w:firstLineChars="200"/>
        <w:rPr>
          <w:lang w:val="zh-CN"/>
        </w:rPr>
      </w:pPr>
      <w:r>
        <w:rPr>
          <w:rFonts w:hint="eastAsia" w:ascii="楷体_GB2312" w:hAnsi="宋体" w:eastAsia="楷体_GB2312"/>
          <w:b/>
          <w:szCs w:val="32"/>
          <w:lang w:val="zh-CN"/>
        </w:rPr>
        <w:t>（三）评价选点。</w:t>
      </w:r>
      <w:r>
        <w:rPr>
          <w:rFonts w:hint="eastAsia"/>
          <w:szCs w:val="32"/>
          <w:lang w:val="zh-CN"/>
        </w:rPr>
        <w:t>根据</w:t>
      </w:r>
      <w:r>
        <w:rPr>
          <w:rFonts w:hint="eastAsia" w:ascii="仿宋_GB2312" w:hAnsi="仿宋_GB2312" w:cs="仿宋_GB2312"/>
          <w:kern w:val="0"/>
          <w:szCs w:val="32"/>
          <w:shd w:val="clear" w:color="auto" w:fill="FFFFFF"/>
          <w:lang w:val="zh-CN"/>
        </w:rPr>
        <w:t>覆盖企业数量、评估次数、国企改革整合完成期间、对重大决策影响程度、企业满意度、稳定风险评估费用支出</w:t>
      </w:r>
      <w:r>
        <w:rPr>
          <w:rFonts w:hint="eastAsia"/>
          <w:szCs w:val="32"/>
          <w:lang w:val="zh-CN"/>
        </w:rPr>
        <w:t>等指标进行全方位评价。</w:t>
      </w:r>
    </w:p>
    <w:p>
      <w:pPr>
        <w:spacing w:line="578" w:lineRule="exact"/>
        <w:ind w:firstLine="640"/>
      </w:pPr>
      <w:r>
        <w:rPr>
          <w:rFonts w:hint="eastAsia" w:ascii="楷体_GB2312" w:hAnsi="宋体" w:eastAsia="楷体_GB2312"/>
          <w:b/>
          <w:szCs w:val="32"/>
          <w:lang w:val="zh-CN"/>
        </w:rPr>
        <w:t>（四）评价方法。</w:t>
      </w:r>
      <w:r>
        <w:rPr>
          <w:rFonts w:hint="eastAsia"/>
          <w:szCs w:val="32"/>
        </w:rPr>
        <w:t>主要</w:t>
      </w:r>
      <w:r>
        <w:rPr>
          <w:szCs w:val="32"/>
        </w:rPr>
        <w:t>采用</w:t>
      </w:r>
      <w:r>
        <w:rPr>
          <w:rFonts w:hint="eastAsia"/>
          <w:szCs w:val="32"/>
        </w:rPr>
        <w:t>成本效益分析法</w:t>
      </w:r>
      <w:r>
        <w:rPr>
          <w:szCs w:val="32"/>
        </w:rPr>
        <w:t>、单位自评法等方法</w:t>
      </w:r>
      <w:r>
        <w:rPr>
          <w:rFonts w:hint="eastAsia"/>
          <w:szCs w:val="32"/>
        </w:rPr>
        <w:t>。</w:t>
      </w:r>
    </w:p>
    <w:p>
      <w:pPr>
        <w:spacing w:line="578" w:lineRule="exact"/>
        <w:ind w:firstLine="640"/>
        <w:rPr>
          <w:bCs/>
        </w:rPr>
      </w:pPr>
      <w:r>
        <w:rPr>
          <w:rFonts w:hint="eastAsia" w:ascii="楷体_GB2312" w:hAnsi="宋体" w:eastAsia="楷体_GB2312"/>
          <w:b/>
          <w:szCs w:val="32"/>
          <w:lang w:val="zh-CN"/>
        </w:rPr>
        <w:t>（五）评价组织。</w:t>
      </w:r>
      <w:r>
        <w:rPr>
          <w:rFonts w:hint="eastAsia"/>
          <w:szCs w:val="32"/>
        </w:rPr>
        <w:t>项目由改革科实施，由改革科科长、财务负责人、相关分管领导进行评价。</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宋体" w:eastAsia="楷体_GB2312"/>
          <w:b/>
        </w:rPr>
      </w:pPr>
      <w:r>
        <w:rPr>
          <w:rFonts w:hint="eastAsia" w:ascii="楷体_GB2312" w:hAnsi="宋体" w:eastAsia="楷体_GB2312"/>
          <w:b/>
          <w:szCs w:val="32"/>
          <w:lang w:val="zh-CN"/>
        </w:rPr>
        <w:t>（一）</w:t>
      </w:r>
      <w:r>
        <w:rPr>
          <w:rFonts w:hint="eastAsia" w:ascii="楷体_GB2312" w:hAnsi="宋体" w:eastAsia="楷体_GB2312"/>
          <w:b/>
          <w:szCs w:val="32"/>
        </w:rPr>
        <w:t>通用指标</w:t>
      </w:r>
      <w:r>
        <w:rPr>
          <w:rFonts w:eastAsia="楷体_GB2312"/>
          <w:b/>
          <w:bCs/>
          <w:color w:val="000000"/>
          <w:kern w:val="0"/>
          <w:szCs w:val="32"/>
          <w:shd w:val="clear" w:color="auto" w:fill="FFFFFF"/>
          <w:lang w:val="zh-CN"/>
        </w:rPr>
        <w:t>绩效分析。</w:t>
      </w:r>
    </w:p>
    <w:p>
      <w:pPr>
        <w:spacing w:line="578" w:lineRule="exact"/>
        <w:ind w:firstLine="640"/>
      </w:pPr>
      <w:r>
        <w:rPr>
          <w:rFonts w:hint="eastAsia" w:ascii="楷体_GB2312" w:hAnsi="楷体_GB2312" w:eastAsia="楷体_GB2312" w:cs="楷体_GB2312"/>
          <w:szCs w:val="32"/>
        </w:rPr>
        <w:t>1.项目决策。</w:t>
      </w:r>
      <w:r>
        <w:rPr>
          <w:rFonts w:hint="eastAsia" w:ascii="仿宋_GB2312" w:hAnsi="仿宋_GB2312" w:cs="仿宋_GB2312"/>
          <w:kern w:val="0"/>
          <w:szCs w:val="32"/>
          <w:shd w:val="clear" w:color="auto" w:fill="FFFFFF"/>
          <w:lang w:val="zh-CN"/>
        </w:rPr>
        <w:t>项目按照相关制度规定执行，开展市属国有企业改革审计、资产清理评估</w:t>
      </w:r>
      <w:r>
        <w:rPr>
          <w:rFonts w:hint="eastAsia" w:ascii="仿宋_GB2312" w:hAnsi="仿宋_GB2312" w:cs="仿宋_GB2312"/>
          <w:kern w:val="0"/>
          <w:szCs w:val="32"/>
          <w:shd w:val="clear" w:color="auto" w:fill="FFFFFF"/>
        </w:rPr>
        <w:t>,</w:t>
      </w:r>
      <w:r>
        <w:rPr>
          <w:rFonts w:hint="eastAsia" w:ascii="仿宋_GB2312" w:hAnsi="仿宋_GB2312" w:cs="仿宋_GB2312"/>
          <w:kern w:val="0"/>
          <w:szCs w:val="32"/>
          <w:shd w:val="clear" w:color="auto" w:fill="FFFFFF"/>
          <w:lang w:val="zh-CN"/>
        </w:rPr>
        <w:t>委托中介机构开展社会风险稳定风险评估，并对评估报告进行审查。项目</w:t>
      </w:r>
      <w:r>
        <w:rPr>
          <w:rFonts w:hint="eastAsia"/>
          <w:szCs w:val="32"/>
        </w:rPr>
        <w:t>决策程序规范、规划论证严密、资金投向合规。自评18分。</w:t>
      </w:r>
    </w:p>
    <w:p>
      <w:pPr>
        <w:spacing w:line="578" w:lineRule="exact"/>
        <w:ind w:firstLine="640"/>
      </w:pPr>
      <w:r>
        <w:rPr>
          <w:rFonts w:hint="eastAsia" w:ascii="楷体_GB2312" w:hAnsi="楷体_GB2312" w:eastAsia="楷体_GB2312" w:cs="楷体_GB2312"/>
          <w:szCs w:val="32"/>
        </w:rPr>
        <w:t>2.项目管理。</w:t>
      </w:r>
      <w:r>
        <w:rPr>
          <w:rFonts w:hint="eastAsia"/>
          <w:szCs w:val="32"/>
          <w:lang w:val="zh-CN"/>
        </w:rPr>
        <w:t>资金管理办法等管理制度体系健全完善，不存在管理制度缺失现象，资金分配管理经过前期充分调研，管理规范合理，实施全过程进行监控</w:t>
      </w:r>
      <w:r>
        <w:rPr>
          <w:rFonts w:hint="eastAsia"/>
          <w:szCs w:val="32"/>
        </w:rPr>
        <w:t>。自评18分。</w:t>
      </w:r>
    </w:p>
    <w:p>
      <w:pPr>
        <w:spacing w:line="578" w:lineRule="exact"/>
        <w:ind w:firstLine="640"/>
        <w:rPr>
          <w:lang w:val="zh-CN"/>
        </w:rPr>
      </w:pPr>
      <w:r>
        <w:rPr>
          <w:rFonts w:hint="eastAsia"/>
          <w:szCs w:val="32"/>
        </w:rPr>
        <w:t>3.项目实施。</w:t>
      </w:r>
      <w:r>
        <w:rPr>
          <w:rFonts w:hint="eastAsia"/>
          <w:szCs w:val="32"/>
          <w:lang w:val="zh-CN"/>
        </w:rPr>
        <w:t>围绕国企改革整合工作经费（含国有企业改革审计、资产清理评估，社会稳定风险评估及相关日常工作经费等）来源于财政拨款，纳入</w:t>
      </w:r>
      <w:r>
        <w:rPr>
          <w:rFonts w:hint="eastAsia"/>
          <w:szCs w:val="32"/>
        </w:rPr>
        <w:t>2023年预算中，资金到位及时率100%，资金使用符合国家财经法规、财务管理制度及有关专项资金管理制度办法规定和审批程序</w:t>
      </w:r>
      <w:r>
        <w:rPr>
          <w:rFonts w:hint="eastAsia"/>
          <w:szCs w:val="32"/>
          <w:lang w:val="zh-CN"/>
        </w:rPr>
        <w:t>。</w:t>
      </w:r>
      <w:r>
        <w:rPr>
          <w:rFonts w:hint="eastAsia"/>
          <w:szCs w:val="32"/>
        </w:rPr>
        <w:t>自评9分。</w:t>
      </w:r>
    </w:p>
    <w:p>
      <w:pPr>
        <w:spacing w:line="578" w:lineRule="exact"/>
        <w:ind w:firstLine="640"/>
        <w:rPr>
          <w:lang w:val="zh-CN"/>
        </w:rPr>
      </w:pPr>
      <w:r>
        <w:rPr>
          <w:rFonts w:hint="eastAsia"/>
          <w:szCs w:val="32"/>
        </w:rPr>
        <w:t>4.项目结果。项目完成预期目标，实施结果与绩效目标相匹配。自评9分。</w:t>
      </w:r>
    </w:p>
    <w:p>
      <w:pPr>
        <w:spacing w:line="578" w:lineRule="exact"/>
        <w:ind w:firstLine="642" w:firstLineChars="200"/>
        <w:rPr>
          <w:rFonts w:ascii="楷体_GB2312" w:hAnsi="楷体_GB2312" w:eastAsia="楷体_GB2312" w:cs="楷体_GB2312"/>
          <w:lang w:val="zh-CN"/>
        </w:rPr>
      </w:pPr>
      <w:r>
        <w:rPr>
          <w:rFonts w:hint="eastAsia" w:ascii="楷体_GB2312" w:hAnsi="宋体" w:eastAsia="楷体_GB2312"/>
          <w:b/>
          <w:szCs w:val="32"/>
          <w:lang w:val="zh-CN"/>
        </w:rPr>
        <w:t>（二）</w:t>
      </w:r>
      <w:r>
        <w:rPr>
          <w:rFonts w:hint="eastAsia" w:ascii="楷体_GB2312" w:hAnsi="宋体" w:eastAsia="楷体_GB2312"/>
          <w:b/>
          <w:szCs w:val="32"/>
        </w:rPr>
        <w:t>专用指标</w:t>
      </w:r>
      <w:r>
        <w:rPr>
          <w:rFonts w:eastAsia="楷体_GB2312"/>
          <w:b/>
          <w:bCs/>
          <w:color w:val="000000"/>
          <w:kern w:val="0"/>
          <w:szCs w:val="32"/>
          <w:shd w:val="clear" w:color="auto" w:fill="FFFFFF"/>
          <w:lang w:val="zh-CN"/>
        </w:rPr>
        <w:t>绩效分析。</w:t>
      </w:r>
    </w:p>
    <w:p>
      <w:pPr>
        <w:spacing w:line="578" w:lineRule="exact"/>
        <w:ind w:firstLine="640" w:firstLineChars="200"/>
      </w:pPr>
      <w:r>
        <w:rPr>
          <w:rFonts w:hint="eastAsia" w:ascii="楷体_GB2312" w:hAnsi="楷体_GB2312" w:eastAsia="楷体_GB2312" w:cs="楷体_GB2312"/>
          <w:szCs w:val="32"/>
          <w:lang w:val="zh-CN"/>
        </w:rPr>
        <w:t>行政运转。</w:t>
      </w:r>
      <w:r>
        <w:rPr>
          <w:rFonts w:hint="eastAsia"/>
          <w:szCs w:val="32"/>
          <w:lang w:val="zh-CN"/>
        </w:rPr>
        <w:t>用途合规性方面，项目经费严格按规定用途、适用范围进行专项资金分配；程序合规性方面，资金管理程序符合专项资金管理要求；标准合规性方面，资金分配标准符合专项资金管理要求。自评</w:t>
      </w:r>
      <w:r>
        <w:rPr>
          <w:rFonts w:hint="eastAsia"/>
          <w:szCs w:val="32"/>
        </w:rPr>
        <w:t>30分。</w:t>
      </w:r>
    </w:p>
    <w:p>
      <w:pPr>
        <w:spacing w:line="578" w:lineRule="exact"/>
        <w:ind w:firstLine="640"/>
        <w:rPr>
          <w:szCs w:val="32"/>
        </w:rPr>
      </w:pPr>
      <w:r>
        <w:rPr>
          <w:rFonts w:hint="eastAsia" w:ascii="楷体_GB2312" w:hAnsi="宋体" w:eastAsia="楷体_GB2312"/>
          <w:b/>
          <w:szCs w:val="32"/>
          <w:lang w:val="zh-CN"/>
        </w:rPr>
        <w:t>（三）</w:t>
      </w:r>
      <w:r>
        <w:rPr>
          <w:rFonts w:hint="eastAsia" w:ascii="楷体_GB2312" w:hAnsi="宋体" w:eastAsia="楷体_GB2312"/>
          <w:b/>
          <w:szCs w:val="32"/>
        </w:rPr>
        <w:t>个性指标</w:t>
      </w:r>
      <w:r>
        <w:rPr>
          <w:rFonts w:eastAsia="楷体_GB2312"/>
          <w:b/>
          <w:bCs/>
          <w:color w:val="000000"/>
          <w:kern w:val="0"/>
          <w:szCs w:val="32"/>
          <w:shd w:val="clear" w:color="auto" w:fill="FFFFFF"/>
          <w:lang w:val="zh-CN"/>
        </w:rPr>
        <w:t>绩效分析。</w:t>
      </w:r>
      <w:r>
        <w:rPr>
          <w:rFonts w:hint="eastAsia"/>
          <w:szCs w:val="32"/>
          <w:lang w:val="zh-CN"/>
        </w:rPr>
        <w:t>根据项目个性自行设定绩效目标分析情况如下：国企改革整合工作在1年内完成，开展国企改革整合评估</w:t>
      </w:r>
      <w:r>
        <w:rPr>
          <w:rFonts w:hint="eastAsia"/>
          <w:szCs w:val="32"/>
        </w:rPr>
        <w:t>1</w:t>
      </w:r>
      <w:r>
        <w:rPr>
          <w:rFonts w:hint="eastAsia"/>
          <w:szCs w:val="32"/>
          <w:lang w:val="zh-CN"/>
        </w:rPr>
        <w:t>次，稳定风险评估费用支出15万元。自评</w:t>
      </w:r>
      <w:r>
        <w:rPr>
          <w:rFonts w:hint="eastAsia"/>
          <w:szCs w:val="32"/>
        </w:rPr>
        <w:t>16分。</w:t>
      </w:r>
    </w:p>
    <w:p>
      <w:pPr>
        <w:spacing w:line="578" w:lineRule="exact"/>
        <w:ind w:firstLine="640"/>
        <w:rPr>
          <w:rFonts w:ascii="黑体" w:hAnsi="宋体" w:eastAsia="黑体"/>
          <w:szCs w:val="32"/>
        </w:rPr>
      </w:pPr>
      <w:r>
        <w:rPr>
          <w:rFonts w:hint="eastAsia" w:ascii="黑体" w:hAnsi="宋体" w:eastAsia="黑体"/>
          <w:szCs w:val="32"/>
        </w:rPr>
        <w:t>四、评价结论</w:t>
      </w:r>
    </w:p>
    <w:p>
      <w:pPr>
        <w:spacing w:line="578" w:lineRule="exact"/>
        <w:ind w:firstLine="640"/>
        <w:rPr>
          <w:rFonts w:ascii="仿宋_GB2312" w:hAnsi="仿宋_GB2312" w:cs="仿宋_GB2312"/>
          <w:kern w:val="0"/>
          <w:szCs w:val="32"/>
        </w:rPr>
      </w:pPr>
      <w:r>
        <w:rPr>
          <w:rFonts w:hint="eastAsia" w:ascii="仿宋_GB2312" w:hAnsi="仿宋_GB2312" w:cs="仿宋_GB2312"/>
          <w:kern w:val="0"/>
          <w:szCs w:val="32"/>
        </w:rPr>
        <w:t>2023年度优化重组全面推开，国企发展动能厚积成势，切实推动市属国有企业公司架构设置和专业化整合，产业发展板块和主责主业细分领域进一步明确，自评100分。</w:t>
      </w:r>
    </w:p>
    <w:p>
      <w:pPr>
        <w:spacing w:line="578" w:lineRule="exact"/>
        <w:ind w:firstLine="640"/>
        <w:rPr>
          <w:rFonts w:ascii="黑体" w:hAnsi="黑体" w:eastAsia="黑体"/>
          <w:szCs w:val="32"/>
        </w:rPr>
      </w:pPr>
      <w:r>
        <w:rPr>
          <w:rFonts w:hint="eastAsia" w:ascii="黑体" w:hAnsi="黑体" w:eastAsia="黑体"/>
          <w:szCs w:val="32"/>
        </w:rPr>
        <w:t>五、存在主要问题</w:t>
      </w:r>
    </w:p>
    <w:p>
      <w:pPr>
        <w:spacing w:line="578" w:lineRule="exact"/>
        <w:ind w:firstLine="640"/>
        <w:rPr>
          <w:rFonts w:ascii="仿宋_GB2312" w:hAnsi="仿宋_GB2312" w:cs="仿宋_GB2312"/>
          <w:kern w:val="0"/>
          <w:szCs w:val="32"/>
        </w:rPr>
      </w:pPr>
      <w:r>
        <w:rPr>
          <w:rFonts w:hint="eastAsia" w:ascii="仿宋_GB2312" w:hAnsi="仿宋_GB2312" w:cs="仿宋_GB2312"/>
          <w:kern w:val="0"/>
          <w:szCs w:val="32"/>
        </w:rPr>
        <w:t>无。</w:t>
      </w:r>
    </w:p>
    <w:p>
      <w:pPr>
        <w:spacing w:line="578" w:lineRule="exact"/>
        <w:ind w:firstLine="640"/>
      </w:pPr>
      <w:r>
        <w:rPr>
          <w:rFonts w:hint="eastAsia" w:ascii="黑体" w:hAnsi="宋体" w:eastAsia="黑体"/>
          <w:kern w:val="0"/>
          <w:position w:val="3"/>
          <w:szCs w:val="32"/>
          <w:lang w:val="zh-CN"/>
        </w:rPr>
        <w:t>六、改进建议</w:t>
      </w:r>
    </w:p>
    <w:p>
      <w:pPr>
        <w:tabs>
          <w:tab w:val="left" w:pos="1911"/>
        </w:tabs>
        <w:ind w:firstLine="640" w:firstLineChars="200"/>
        <w:jc w:val="left"/>
        <w:rPr>
          <w:rFonts w:ascii="仿宋_GB2312" w:hAnsi="仿宋_GB2312" w:cs="仿宋_GB2312"/>
          <w:kern w:val="0"/>
          <w:lang w:val="en"/>
        </w:rPr>
      </w:pPr>
      <w:r>
        <w:rPr>
          <w:rFonts w:hint="eastAsia" w:ascii="仿宋_GB2312" w:hAnsi="仿宋_GB2312" w:cs="仿宋_GB2312"/>
          <w:kern w:val="0"/>
          <w:szCs w:val="32"/>
          <w:shd w:val="clear" w:color="auto" w:fill="FFFFFF"/>
          <w:lang w:val="zh-CN"/>
        </w:rPr>
        <w:t>无</w:t>
      </w:r>
      <w:r>
        <w:rPr>
          <w:rFonts w:hint="eastAsia" w:ascii="仿宋_GB2312" w:hAnsi="仿宋_GB2312" w:cs="仿宋_GB2312"/>
          <w:kern w:val="0"/>
          <w:szCs w:val="32"/>
        </w:rPr>
        <w:t>。</w:t>
      </w: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关于财政代管2021年疫情值班补助项目的</w:t>
      </w:r>
    </w:p>
    <w:p>
      <w:pPr>
        <w:pStyle w:val="38"/>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绩效评价报告</w:t>
      </w:r>
    </w:p>
    <w:p>
      <w:pPr>
        <w:pStyle w:val="38"/>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（一）设立背景及基本情况。</w:t>
      </w:r>
      <w:r>
        <w:rPr>
          <w:rFonts w:hint="eastAsia" w:ascii="仿宋_GB2312" w:hAnsi="仿宋_GB2312" w:cs="仿宋_GB2312"/>
          <w:kern w:val="0"/>
          <w:szCs w:val="32"/>
          <w:shd w:val="clear" w:color="auto" w:fill="FFFFFF"/>
        </w:rPr>
        <w:t>本项目的主要内容是拨付广运集团用于发放2021.7.24-2021.8.24疫情期间南河汽车站、长途汽车站值班补助。</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（二）</w:t>
      </w:r>
      <w:r>
        <w:rPr>
          <w:rFonts w:ascii="楷体_GB2312" w:hAnsi="宋体" w:eastAsia="楷体_GB2312"/>
          <w:b/>
          <w:szCs w:val="32"/>
        </w:rPr>
        <w:t>实施目的及支持方向</w:t>
      </w:r>
      <w:r>
        <w:rPr>
          <w:rFonts w:hint="eastAsia" w:ascii="楷体_GB2312" w:hAnsi="宋体" w:eastAsia="楷体_GB2312"/>
          <w:b/>
          <w:szCs w:val="32"/>
        </w:rPr>
        <w:t>。</w:t>
      </w:r>
      <w:r>
        <w:rPr>
          <w:rFonts w:hint="eastAsia" w:ascii="仿宋_GB2312" w:hAnsi="仿宋_GB2312" w:cs="仿宋_GB2312"/>
          <w:kern w:val="0"/>
          <w:szCs w:val="32"/>
          <w:shd w:val="clear" w:color="auto" w:fill="FFFFFF"/>
        </w:rPr>
        <w:t>项目资金</w:t>
      </w:r>
      <w:r>
        <w:rPr>
          <w:rFonts w:hint="eastAsia" w:ascii="仿宋_GB2312" w:hAnsi="仿宋_GB2312" w:cs="仿宋_GB2312"/>
          <w:kern w:val="0"/>
          <w:szCs w:val="32"/>
          <w:shd w:val="clear" w:color="auto" w:fill="FFFFFF"/>
          <w:lang w:val="zh-CN"/>
        </w:rPr>
        <w:t>管理办法严格按照相关制度规定的标准执行，</w:t>
      </w:r>
      <w:r>
        <w:rPr>
          <w:rFonts w:hint="eastAsia" w:ascii="仿宋_GB2312" w:hAnsi="仿宋_GB2312" w:cs="仿宋_GB2312"/>
          <w:kern w:val="0"/>
          <w:szCs w:val="32"/>
          <w:shd w:val="clear" w:color="auto" w:fill="FFFFFF"/>
        </w:rPr>
        <w:t>用于广运集团发放2021.7.24至2021.8.24疫情期间南河汽车站、长途汽车站的值班补助。</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（三）</w:t>
      </w:r>
      <w:r>
        <w:rPr>
          <w:rFonts w:ascii="楷体_GB2312" w:hAnsi="宋体" w:eastAsia="楷体_GB2312"/>
          <w:b/>
          <w:szCs w:val="32"/>
        </w:rPr>
        <w:t>预算安排及分配管理</w:t>
      </w:r>
      <w:r>
        <w:rPr>
          <w:rFonts w:hint="eastAsia" w:ascii="楷体_GB2312" w:hAnsi="宋体" w:eastAsia="楷体_GB2312"/>
          <w:b/>
          <w:szCs w:val="32"/>
          <w:lang w:val="zh-CN"/>
        </w:rPr>
        <w:t>。</w:t>
      </w:r>
      <w:r>
        <w:rPr>
          <w:rFonts w:hint="eastAsia" w:ascii="仿宋_GB2312" w:hAnsi="仿宋_GB2312" w:cs="仿宋_GB2312"/>
          <w:kern w:val="0"/>
          <w:szCs w:val="32"/>
          <w:shd w:val="clear" w:color="auto" w:fill="FFFFFF"/>
          <w:lang w:val="zh-CN"/>
        </w:rPr>
        <w:t>项目预算均来源于年初预算，是市卫健委专项拨付广运集团的代管资金，项目按照相关制度规定的标准执行。</w:t>
      </w:r>
    </w:p>
    <w:p>
      <w:pPr>
        <w:adjustRightInd w:val="0"/>
        <w:snapToGrid w:val="0"/>
        <w:spacing w:line="578" w:lineRule="exact"/>
        <w:ind w:firstLine="642" w:firstLineChars="200"/>
        <w:rPr>
          <w:rFonts w:ascii="仿宋_GB2312" w:hAnsi="仿宋_GB2312" w:cs="仿宋_GB2312"/>
          <w:kern w:val="0"/>
          <w:shd w:val="clear" w:color="auto" w:fill="FFFFFF"/>
          <w:lang w:val="zh-CN"/>
        </w:rPr>
      </w:pPr>
      <w:r>
        <w:rPr>
          <w:rFonts w:hint="eastAsia" w:ascii="楷体_GB2312" w:hAnsi="宋体" w:eastAsia="楷体_GB2312"/>
          <w:b/>
          <w:szCs w:val="32"/>
          <w:lang w:val="zh-CN"/>
        </w:rPr>
        <w:t>（四）项目绩效目标设置。</w:t>
      </w:r>
      <w:r>
        <w:rPr>
          <w:rFonts w:hint="eastAsia" w:ascii="仿宋_GB2312" w:hAnsi="仿宋_GB2312" w:cs="仿宋_GB2312"/>
          <w:kern w:val="0"/>
          <w:szCs w:val="32"/>
          <w:shd w:val="clear" w:color="auto" w:fill="FFFFFF"/>
          <w:lang w:val="zh-CN"/>
        </w:rPr>
        <w:t>项目实施情况，设置转拨疫情值班补助涉及企业数量、拨付疫情值班补助付款次数、疫情值班补助发放完成率、对企业职工参与疫情防控工作积极性影响程度、参与疫情防控企业满意度、发放值班补助成本等绩效目标。该笔代管资金已按时拨付广运集团，用于发放疫情期间值班补助，自评100分。</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pPr>
      <w:r>
        <w:rPr>
          <w:rFonts w:hint="eastAsia" w:ascii="楷体_GB2312" w:hAnsi="宋体" w:eastAsia="楷体_GB2312"/>
          <w:b/>
          <w:szCs w:val="32"/>
          <w:lang w:val="zh-CN"/>
        </w:rPr>
        <w:t>（一）评价目的。</w:t>
      </w:r>
      <w:r>
        <w:rPr>
          <w:szCs w:val="32"/>
        </w:rPr>
        <w:t>通过</w:t>
      </w:r>
      <w:r>
        <w:rPr>
          <w:rFonts w:hint="eastAsia"/>
          <w:szCs w:val="32"/>
        </w:rPr>
        <w:t>项目绩效自评，可以及时发现项目实施过程中存在的问题，加强项目的自主监督和管理，提高项目管理能力；可以直观了解项目的实际状态，为类似项目的管理和资金使用提供丰富经验和运行建议。</w:t>
      </w:r>
    </w:p>
    <w:p>
      <w:pPr>
        <w:adjustRightInd w:val="0"/>
        <w:snapToGrid w:val="0"/>
        <w:spacing w:line="578" w:lineRule="exact"/>
        <w:ind w:firstLine="642" w:firstLineChars="200"/>
      </w:pPr>
      <w:r>
        <w:rPr>
          <w:rFonts w:hint="eastAsia" w:ascii="楷体_GB2312" w:hAnsi="宋体" w:eastAsia="楷体_GB2312"/>
          <w:b/>
          <w:szCs w:val="32"/>
          <w:lang w:val="zh-CN"/>
        </w:rPr>
        <w:t>（二）预设问题及评价重点。</w:t>
      </w:r>
      <w:r>
        <w:rPr>
          <w:rFonts w:hint="eastAsia"/>
          <w:szCs w:val="32"/>
        </w:rPr>
        <w:t>按照绩效评价指标体系，我委对项目资金支出使用全过程进行监督，按时评估资金进度，对按时完成项目目标提供有力监督，有效控制了项目实施成本。</w:t>
      </w:r>
    </w:p>
    <w:p>
      <w:pPr>
        <w:adjustRightInd w:val="0"/>
        <w:snapToGrid w:val="0"/>
        <w:spacing w:line="578" w:lineRule="exact"/>
        <w:ind w:firstLine="642" w:firstLineChars="200"/>
        <w:rPr>
          <w:lang w:val="zh-CN"/>
        </w:rPr>
      </w:pPr>
      <w:r>
        <w:rPr>
          <w:rFonts w:hint="eastAsia" w:ascii="楷体_GB2312" w:hAnsi="宋体" w:eastAsia="楷体_GB2312"/>
          <w:b/>
          <w:szCs w:val="32"/>
          <w:lang w:val="zh-CN"/>
        </w:rPr>
        <w:t>（三）评价选点。</w:t>
      </w:r>
      <w:r>
        <w:rPr>
          <w:rFonts w:hint="eastAsia"/>
          <w:szCs w:val="32"/>
          <w:lang w:val="zh-CN"/>
        </w:rPr>
        <w:t>根据</w:t>
      </w:r>
      <w:r>
        <w:rPr>
          <w:rFonts w:hint="eastAsia" w:ascii="仿宋_GB2312" w:hAnsi="仿宋_GB2312" w:cs="仿宋_GB2312"/>
          <w:kern w:val="0"/>
          <w:szCs w:val="32"/>
          <w:shd w:val="clear" w:color="auto" w:fill="FFFFFF"/>
          <w:lang w:val="zh-CN"/>
        </w:rPr>
        <w:t>覆盖企业数量、评估次数、国企改革整合完成期间、对重大决策影响程度、企业满意度、稳定风险评估费用支出</w:t>
      </w:r>
      <w:r>
        <w:rPr>
          <w:rFonts w:hint="eastAsia"/>
          <w:szCs w:val="32"/>
          <w:lang w:val="zh-CN"/>
        </w:rPr>
        <w:t>等指标进行全方位评价。</w:t>
      </w:r>
    </w:p>
    <w:p>
      <w:pPr>
        <w:spacing w:line="578" w:lineRule="exact"/>
        <w:ind w:firstLine="640"/>
      </w:pPr>
      <w:r>
        <w:rPr>
          <w:rFonts w:hint="eastAsia" w:ascii="楷体_GB2312" w:hAnsi="宋体" w:eastAsia="楷体_GB2312"/>
          <w:b/>
          <w:szCs w:val="32"/>
          <w:lang w:val="zh-CN"/>
        </w:rPr>
        <w:t>（四）评价方法。</w:t>
      </w:r>
      <w:r>
        <w:rPr>
          <w:szCs w:val="32"/>
        </w:rPr>
        <w:t>根据项目情况和评价重点，</w:t>
      </w:r>
      <w:r>
        <w:rPr>
          <w:rFonts w:hint="eastAsia"/>
          <w:szCs w:val="32"/>
        </w:rPr>
        <w:t>我委</w:t>
      </w:r>
      <w:r>
        <w:rPr>
          <w:szCs w:val="32"/>
        </w:rPr>
        <w:t>采用</w:t>
      </w:r>
      <w:r>
        <w:rPr>
          <w:rFonts w:hint="eastAsia"/>
          <w:szCs w:val="32"/>
        </w:rPr>
        <w:t>成本效益分析法</w:t>
      </w:r>
      <w:r>
        <w:rPr>
          <w:szCs w:val="32"/>
        </w:rPr>
        <w:t>、单位自评法方法</w:t>
      </w:r>
      <w:r>
        <w:rPr>
          <w:rFonts w:hint="eastAsia"/>
          <w:szCs w:val="32"/>
        </w:rPr>
        <w:t>评价。</w:t>
      </w:r>
    </w:p>
    <w:p>
      <w:pPr>
        <w:spacing w:line="578" w:lineRule="exact"/>
        <w:ind w:firstLine="640"/>
        <w:rPr>
          <w:bCs/>
        </w:rPr>
      </w:pPr>
      <w:r>
        <w:rPr>
          <w:rFonts w:hint="eastAsia" w:ascii="楷体_GB2312" w:hAnsi="宋体" w:eastAsia="楷体_GB2312"/>
          <w:b/>
          <w:szCs w:val="32"/>
          <w:lang w:val="zh-CN"/>
        </w:rPr>
        <w:t>（五）评价组织。</w:t>
      </w:r>
      <w:r>
        <w:rPr>
          <w:rFonts w:hint="eastAsia"/>
          <w:szCs w:val="32"/>
        </w:rPr>
        <w:t>项目由办公室实施，由财务人员、财务负责人、相关分管领导进行评价。</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宋体" w:eastAsia="楷体_GB2312"/>
          <w:b/>
        </w:rPr>
      </w:pPr>
      <w:r>
        <w:rPr>
          <w:rFonts w:hint="eastAsia" w:ascii="楷体_GB2312" w:hAnsi="宋体" w:eastAsia="楷体_GB2312"/>
          <w:b/>
          <w:szCs w:val="32"/>
          <w:lang w:val="zh-CN"/>
        </w:rPr>
        <w:t>（一）</w:t>
      </w:r>
      <w:r>
        <w:rPr>
          <w:rFonts w:hint="eastAsia" w:ascii="楷体_GB2312" w:hAnsi="宋体" w:eastAsia="楷体_GB2312"/>
          <w:b/>
          <w:szCs w:val="32"/>
        </w:rPr>
        <w:t>通用指标</w:t>
      </w:r>
      <w:r>
        <w:rPr>
          <w:rFonts w:eastAsia="楷体_GB2312"/>
          <w:b/>
          <w:bCs/>
          <w:color w:val="000000"/>
          <w:kern w:val="0"/>
          <w:szCs w:val="32"/>
          <w:shd w:val="clear" w:color="auto" w:fill="FFFFFF"/>
          <w:lang w:val="zh-CN"/>
        </w:rPr>
        <w:t>绩效分析。</w:t>
      </w:r>
    </w:p>
    <w:p>
      <w:pPr>
        <w:spacing w:line="578" w:lineRule="exact"/>
        <w:ind w:firstLine="640"/>
      </w:pPr>
      <w:r>
        <w:rPr>
          <w:rFonts w:hint="eastAsia" w:ascii="楷体_GB2312" w:hAnsi="楷体_GB2312" w:eastAsia="楷体_GB2312" w:cs="楷体_GB2312"/>
          <w:szCs w:val="32"/>
        </w:rPr>
        <w:t>1.项目决策。</w:t>
      </w:r>
      <w:r>
        <w:rPr>
          <w:rFonts w:hint="eastAsia" w:ascii="仿宋_GB2312" w:hAnsi="仿宋_GB2312" w:cs="仿宋_GB2312"/>
          <w:kern w:val="0"/>
          <w:szCs w:val="32"/>
          <w:shd w:val="clear" w:color="auto" w:fill="FFFFFF"/>
          <w:lang w:val="zh-CN"/>
        </w:rPr>
        <w:t>项目按照相关制度规定执行，拨付广运集团用于发放2021.7.24-2021.8.24疫情期间南河汽车站、长途汽车站值班补助。项目</w:t>
      </w:r>
      <w:r>
        <w:rPr>
          <w:rFonts w:hint="eastAsia"/>
          <w:szCs w:val="32"/>
        </w:rPr>
        <w:t>决策程序规范、规划论证严密、资金投向合规。自评18分。</w:t>
      </w:r>
    </w:p>
    <w:p>
      <w:pPr>
        <w:spacing w:line="578" w:lineRule="exact"/>
        <w:ind w:firstLine="640"/>
      </w:pPr>
      <w:r>
        <w:rPr>
          <w:rFonts w:hint="eastAsia" w:ascii="楷体_GB2312" w:hAnsi="楷体_GB2312" w:eastAsia="楷体_GB2312" w:cs="楷体_GB2312"/>
          <w:szCs w:val="32"/>
        </w:rPr>
        <w:t>2.项目管理。</w:t>
      </w:r>
      <w:r>
        <w:rPr>
          <w:rFonts w:hint="eastAsia"/>
          <w:szCs w:val="32"/>
          <w:lang w:val="zh-CN"/>
        </w:rPr>
        <w:t>资金管理办法等管理制度体系健全完善，不存在管理制度缺失现象，资金分配管理经过前期充分调研，管理规范合理，实施全过程进行监控</w:t>
      </w:r>
      <w:r>
        <w:rPr>
          <w:rFonts w:hint="eastAsia"/>
          <w:szCs w:val="32"/>
        </w:rPr>
        <w:t>。自评18分。</w:t>
      </w:r>
    </w:p>
    <w:p>
      <w:pPr>
        <w:spacing w:line="578" w:lineRule="exact"/>
        <w:ind w:firstLine="640"/>
      </w:pPr>
      <w:r>
        <w:rPr>
          <w:rFonts w:hint="eastAsia" w:ascii="楷体_GB2312" w:hAnsi="楷体_GB2312" w:eastAsia="楷体_GB2312" w:cs="楷体_GB2312"/>
          <w:szCs w:val="32"/>
        </w:rPr>
        <w:t>3.项目实施。</w:t>
      </w:r>
      <w:r>
        <w:rPr>
          <w:rFonts w:hint="eastAsia"/>
          <w:szCs w:val="32"/>
        </w:rPr>
        <w:t>该项目属于财政代管资金</w:t>
      </w:r>
      <w:r>
        <w:rPr>
          <w:rFonts w:hint="eastAsia"/>
          <w:szCs w:val="32"/>
          <w:lang w:val="zh-CN"/>
        </w:rPr>
        <w:t>，纳入</w:t>
      </w:r>
      <w:r>
        <w:rPr>
          <w:rFonts w:hint="eastAsia"/>
          <w:szCs w:val="32"/>
        </w:rPr>
        <w:t>2023年预算中，资金到位及时率100%，资金使用严格按照市财政局代管资金使用流程进行审批及支付</w:t>
      </w:r>
      <w:r>
        <w:rPr>
          <w:rFonts w:hint="eastAsia"/>
          <w:szCs w:val="32"/>
          <w:lang w:val="zh-CN"/>
        </w:rPr>
        <w:t>。自评</w:t>
      </w:r>
      <w:r>
        <w:rPr>
          <w:rFonts w:hint="eastAsia"/>
          <w:szCs w:val="32"/>
        </w:rPr>
        <w:t>9分。</w:t>
      </w:r>
    </w:p>
    <w:p>
      <w:pPr>
        <w:spacing w:line="578" w:lineRule="exact"/>
        <w:ind w:firstLine="640"/>
      </w:pPr>
      <w:r>
        <w:rPr>
          <w:rFonts w:hint="eastAsia" w:ascii="楷体_GB2312" w:hAnsi="楷体_GB2312" w:eastAsia="楷体_GB2312" w:cs="楷体_GB2312"/>
          <w:szCs w:val="32"/>
        </w:rPr>
        <w:t>4.项目结果。</w:t>
      </w:r>
      <w:r>
        <w:rPr>
          <w:rFonts w:hint="eastAsia"/>
          <w:szCs w:val="32"/>
        </w:rPr>
        <w:t>项目完成预期目标，实施结果与绩效目标相匹配。自评9分。</w:t>
      </w:r>
    </w:p>
    <w:p>
      <w:pPr>
        <w:spacing w:line="578" w:lineRule="exact"/>
        <w:ind w:firstLine="642" w:firstLineChars="200"/>
        <w:rPr>
          <w:rFonts w:ascii="楷体_GB2312" w:hAnsi="楷体_GB2312" w:eastAsia="楷体_GB2312" w:cs="楷体_GB2312"/>
          <w:lang w:val="zh-CN"/>
        </w:rPr>
      </w:pPr>
      <w:r>
        <w:rPr>
          <w:rFonts w:hint="eastAsia" w:ascii="楷体_GB2312" w:hAnsi="宋体" w:eastAsia="楷体_GB2312"/>
          <w:b/>
          <w:szCs w:val="32"/>
          <w:lang w:val="zh-CN"/>
        </w:rPr>
        <w:t>（二）</w:t>
      </w:r>
      <w:r>
        <w:rPr>
          <w:rFonts w:hint="eastAsia" w:ascii="楷体_GB2312" w:hAnsi="宋体" w:eastAsia="楷体_GB2312"/>
          <w:b/>
          <w:szCs w:val="32"/>
        </w:rPr>
        <w:t>专用指标</w:t>
      </w:r>
      <w:r>
        <w:rPr>
          <w:rFonts w:eastAsia="楷体_GB2312"/>
          <w:b/>
          <w:bCs/>
          <w:color w:val="000000"/>
          <w:kern w:val="0"/>
          <w:szCs w:val="32"/>
          <w:shd w:val="clear" w:color="auto" w:fill="FFFFFF"/>
          <w:lang w:val="zh-CN"/>
        </w:rPr>
        <w:t>绩效分析。</w:t>
      </w:r>
    </w:p>
    <w:p>
      <w:pPr>
        <w:spacing w:line="578" w:lineRule="exact"/>
        <w:ind w:firstLine="640" w:firstLineChars="200"/>
        <w:rPr>
          <w:rFonts w:ascii="楷体_GB2312" w:hAnsi="楷体_GB2312" w:eastAsia="楷体_GB2312" w:cs="楷体_GB2312"/>
        </w:rPr>
      </w:pPr>
      <w:r>
        <w:rPr>
          <w:rFonts w:hint="eastAsia" w:ascii="楷体_GB2312" w:hAnsi="楷体_GB2312" w:eastAsia="楷体_GB2312" w:cs="楷体_GB2312"/>
          <w:szCs w:val="32"/>
          <w:lang w:val="zh-CN"/>
        </w:rPr>
        <w:t>民生保障。</w:t>
      </w:r>
      <w:r>
        <w:rPr>
          <w:rFonts w:hint="eastAsia"/>
          <w:szCs w:val="32"/>
        </w:rPr>
        <w:t>区域均衡性方面，该项资金专项拨付广运集团，资金分配科学合理，区域均衡情况得到改善；对象精准性方面，</w:t>
      </w:r>
      <w:r>
        <w:rPr>
          <w:rFonts w:hint="eastAsia" w:ascii="仿宋_GB2312" w:hAnsi="仿宋_GB2312" w:cs="仿宋_GB2312"/>
          <w:kern w:val="0"/>
          <w:szCs w:val="32"/>
          <w:shd w:val="clear" w:color="auto" w:fill="FFFFFF"/>
          <w:lang w:val="zh-CN"/>
        </w:rPr>
        <w:t>拨付广运集团用于发放2021.7.24-2021.8.24疫情期间南河汽车站、长途汽车站值班补助，</w:t>
      </w:r>
      <w:r>
        <w:rPr>
          <w:rFonts w:hint="eastAsia"/>
          <w:szCs w:val="32"/>
        </w:rPr>
        <w:t>资金实际支持对象符合管理要求；标准合理性方面，资金实际补贴标准符合资金管理办法规定的补助标准，并及时按标准兑现；群总满意度方面，群众满意度高。自评30分。</w:t>
      </w:r>
    </w:p>
    <w:p>
      <w:pPr>
        <w:spacing w:line="578" w:lineRule="exact"/>
        <w:ind w:firstLine="640"/>
        <w:rPr>
          <w:szCs w:val="32"/>
        </w:rPr>
      </w:pPr>
      <w:r>
        <w:rPr>
          <w:rFonts w:hint="eastAsia" w:ascii="楷体_GB2312" w:hAnsi="宋体" w:eastAsia="楷体_GB2312"/>
          <w:b/>
          <w:szCs w:val="32"/>
          <w:lang w:val="zh-CN"/>
        </w:rPr>
        <w:t>（三）</w:t>
      </w:r>
      <w:r>
        <w:rPr>
          <w:rFonts w:hint="eastAsia" w:ascii="楷体_GB2312" w:hAnsi="宋体" w:eastAsia="楷体_GB2312"/>
          <w:b/>
          <w:szCs w:val="32"/>
        </w:rPr>
        <w:t>个性指标</w:t>
      </w:r>
      <w:r>
        <w:rPr>
          <w:rFonts w:eastAsia="楷体_GB2312"/>
          <w:b/>
          <w:bCs/>
          <w:color w:val="000000"/>
          <w:kern w:val="0"/>
          <w:szCs w:val="32"/>
          <w:shd w:val="clear" w:color="auto" w:fill="FFFFFF"/>
          <w:lang w:val="zh-CN"/>
        </w:rPr>
        <w:t>绩效分析。</w:t>
      </w:r>
      <w:r>
        <w:rPr>
          <w:rFonts w:hint="eastAsia"/>
          <w:szCs w:val="32"/>
          <w:lang w:val="zh-CN"/>
        </w:rPr>
        <w:t>根据项目个性自行设定指标如下，转拨疫情值班补助涉及企业数量</w:t>
      </w:r>
      <w:r>
        <w:rPr>
          <w:rFonts w:hint="eastAsia"/>
          <w:szCs w:val="32"/>
        </w:rPr>
        <w:t>1个，已按时全额拨付至广运集团；疫情值班补助对企业职工参与疫情防控工作积极性影响高；发放值班补助成本为9280元。</w:t>
      </w:r>
      <w:r>
        <w:rPr>
          <w:rFonts w:hint="eastAsia"/>
          <w:szCs w:val="32"/>
          <w:lang w:val="zh-CN"/>
        </w:rPr>
        <w:t>自评</w:t>
      </w:r>
      <w:r>
        <w:rPr>
          <w:rFonts w:hint="eastAsia"/>
          <w:szCs w:val="32"/>
        </w:rPr>
        <w:t>16分。</w:t>
      </w:r>
    </w:p>
    <w:p>
      <w:pPr>
        <w:spacing w:line="578" w:lineRule="exact"/>
        <w:ind w:firstLine="640"/>
        <w:rPr>
          <w:rFonts w:ascii="黑体" w:hAnsi="宋体" w:eastAsia="黑体"/>
          <w:szCs w:val="32"/>
        </w:rPr>
      </w:pPr>
      <w:r>
        <w:rPr>
          <w:rFonts w:hint="eastAsia" w:ascii="黑体" w:hAnsi="宋体" w:eastAsia="黑体"/>
          <w:szCs w:val="32"/>
        </w:rPr>
        <w:t>四、评价结论</w:t>
      </w:r>
    </w:p>
    <w:p>
      <w:pPr>
        <w:spacing w:line="578" w:lineRule="exact"/>
        <w:ind w:firstLine="640"/>
        <w:rPr>
          <w:rFonts w:hAnsi="仿宋_GB2312" w:cs="仿宋_GB2312"/>
          <w:szCs w:val="32"/>
        </w:rPr>
      </w:pPr>
      <w:r>
        <w:rPr>
          <w:rFonts w:hint="eastAsia" w:hAnsi="仿宋_GB2312" w:cs="仿宋_GB2312"/>
          <w:szCs w:val="32"/>
        </w:rPr>
        <w:t>该笔代管资金已按时拨付广运集团，用于发放疫情期间值班补助，自评100分。</w:t>
      </w:r>
    </w:p>
    <w:p>
      <w:pPr>
        <w:spacing w:line="578" w:lineRule="exact"/>
        <w:ind w:firstLine="640"/>
        <w:rPr>
          <w:rFonts w:ascii="黑体" w:hAnsi="黑体" w:eastAsia="黑体"/>
          <w:szCs w:val="32"/>
        </w:rPr>
      </w:pPr>
      <w:r>
        <w:rPr>
          <w:rFonts w:hint="eastAsia" w:ascii="黑体" w:hAnsi="黑体" w:eastAsia="黑体"/>
          <w:szCs w:val="32"/>
        </w:rPr>
        <w:t>五、存在主要问题</w:t>
      </w:r>
    </w:p>
    <w:p>
      <w:pPr>
        <w:spacing w:line="578" w:lineRule="exact"/>
        <w:ind w:firstLine="640"/>
        <w:rPr>
          <w:rFonts w:hAnsi="仿宋_GB2312" w:cs="仿宋_GB2312"/>
          <w:szCs w:val="32"/>
        </w:rPr>
      </w:pPr>
      <w:r>
        <w:rPr>
          <w:rFonts w:hint="eastAsia" w:hAnsi="仿宋_GB2312" w:cs="仿宋_GB2312"/>
          <w:szCs w:val="32"/>
        </w:rPr>
        <w:t>无。</w:t>
      </w:r>
    </w:p>
    <w:p>
      <w:pPr>
        <w:spacing w:line="578" w:lineRule="exact"/>
        <w:ind w:firstLine="640"/>
      </w:pPr>
      <w:r>
        <w:rPr>
          <w:rFonts w:hint="eastAsia" w:ascii="黑体" w:hAnsi="宋体" w:eastAsia="黑体"/>
          <w:position w:val="3"/>
          <w:szCs w:val="32"/>
          <w:lang w:val="zh-CN"/>
        </w:rPr>
        <w:t>六、改进建议</w:t>
      </w:r>
    </w:p>
    <w:p>
      <w:pPr>
        <w:tabs>
          <w:tab w:val="left" w:pos="1911"/>
        </w:tabs>
        <w:jc w:val="left"/>
        <w:rPr>
          <w:rFonts w:ascii="仿宋_GB2312" w:hAnsi="仿宋_GB2312" w:cs="仿宋_GB2312"/>
          <w:kern w:val="0"/>
          <w:lang w:val="en"/>
        </w:rPr>
      </w:pPr>
      <w:r>
        <w:rPr>
          <w:rFonts w:hint="eastAsia" w:ascii="仿宋_GB2312" w:hAnsi="仿宋_GB2312" w:cs="仿宋_GB2312"/>
          <w:kern w:val="0"/>
          <w:szCs w:val="32"/>
          <w:shd w:val="clear" w:color="auto" w:fill="FFFFFF"/>
          <w:lang w:val="zh-CN"/>
        </w:rPr>
        <w:t xml:space="preserve"> </w:t>
      </w:r>
      <w:r>
        <w:rPr>
          <w:rFonts w:hint="eastAsia" w:ascii="仿宋_GB2312" w:hAnsi="仿宋_GB2312" w:cs="仿宋_GB2312"/>
          <w:kern w:val="0"/>
          <w:szCs w:val="32"/>
        </w:rPr>
        <w:t xml:space="preserve">   无。</w:t>
      </w: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38"/>
        <w:spacing w:line="578" w:lineRule="exact"/>
        <w:jc w:val="center"/>
        <w:rPr>
          <w:rFonts w:hint="eastAsia" w:ascii="方正小标宋简体" w:hAnsi="方正小标宋简体" w:eastAsia="方正小标宋简体" w:cs="方正小标宋简体"/>
          <w:color w:val="auto"/>
          <w:kern w:val="2"/>
          <w:sz w:val="44"/>
          <w:szCs w:val="44"/>
          <w:lang w:val="en-US"/>
        </w:rPr>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关于财政代管非税收入项目的绩效评价</w:t>
      </w:r>
    </w:p>
    <w:p>
      <w:pPr>
        <w:pStyle w:val="38"/>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报告</w:t>
      </w:r>
    </w:p>
    <w:p>
      <w:pPr>
        <w:pStyle w:val="38"/>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rPr>
      </w:pPr>
      <w:r>
        <w:rPr>
          <w:rFonts w:hint="eastAsia" w:ascii="楷体_GB2312" w:hAnsi="宋体" w:eastAsia="楷体_GB2312"/>
          <w:b/>
          <w:szCs w:val="32"/>
          <w:lang w:val="zh-CN"/>
        </w:rPr>
        <w:t>（一）设立背景及基本情况。</w:t>
      </w:r>
      <w:r>
        <w:rPr>
          <w:rFonts w:hint="eastAsia" w:ascii="仿宋_GB2312" w:hAnsi="仿宋_GB2312" w:cs="仿宋_GB2312"/>
          <w:kern w:val="0"/>
          <w:szCs w:val="32"/>
          <w:shd w:val="clear" w:color="auto" w:fill="FFFFFF"/>
        </w:rPr>
        <w:t>本项目的主要内容是解决国企改革改制遗留问题，推动国企改革整合优化重组工作。项目资金属于代管资金，2023年在一体化管理系统上申报为部门项目，经财政局同意后我委开始按照流程使用该项资金。</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（二）</w:t>
      </w:r>
      <w:r>
        <w:rPr>
          <w:rFonts w:ascii="楷体_GB2312" w:hAnsi="宋体" w:eastAsia="楷体_GB2312"/>
          <w:b/>
          <w:szCs w:val="32"/>
        </w:rPr>
        <w:t>实施目的及支持方向</w:t>
      </w:r>
      <w:r>
        <w:rPr>
          <w:rFonts w:hint="eastAsia" w:ascii="楷体_GB2312" w:hAnsi="宋体" w:eastAsia="楷体_GB2312"/>
          <w:b/>
          <w:szCs w:val="32"/>
        </w:rPr>
        <w:t>。</w:t>
      </w:r>
      <w:r>
        <w:rPr>
          <w:rFonts w:hint="eastAsia" w:ascii="仿宋_GB2312" w:hAnsi="仿宋_GB2312" w:cs="仿宋_GB2312"/>
          <w:kern w:val="0"/>
          <w:szCs w:val="32"/>
          <w:shd w:val="clear" w:color="auto" w:fill="FFFFFF"/>
        </w:rPr>
        <w:t>项我委严格按照代管资金使用流程申报使用项目资金，组织开展相关业务培训工作，解决国企改革改制遗留问题，完成年度目标。</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（三）</w:t>
      </w:r>
      <w:r>
        <w:rPr>
          <w:rFonts w:ascii="楷体_GB2312" w:hAnsi="宋体" w:eastAsia="楷体_GB2312"/>
          <w:b/>
          <w:szCs w:val="32"/>
        </w:rPr>
        <w:t>预算安排及分配管理</w:t>
      </w:r>
      <w:r>
        <w:rPr>
          <w:rFonts w:hint="eastAsia" w:ascii="楷体_GB2312" w:hAnsi="宋体" w:eastAsia="楷体_GB2312"/>
          <w:b/>
          <w:szCs w:val="32"/>
          <w:lang w:val="zh-CN"/>
        </w:rPr>
        <w:t>。</w:t>
      </w:r>
      <w:r>
        <w:rPr>
          <w:rFonts w:hint="eastAsia" w:ascii="仿宋_GB2312" w:hAnsi="仿宋_GB2312" w:cs="仿宋_GB2312"/>
          <w:kern w:val="0"/>
          <w:szCs w:val="32"/>
          <w:shd w:val="clear" w:color="auto" w:fill="FFFFFF"/>
          <w:lang w:val="zh-CN"/>
        </w:rPr>
        <w:t>项目预属财政代管资金，</w:t>
      </w:r>
      <w:r>
        <w:rPr>
          <w:rFonts w:hint="eastAsia"/>
          <w:szCs w:val="32"/>
        </w:rPr>
        <w:t>资金到位及时率100%，我委</w:t>
      </w:r>
      <w:r>
        <w:rPr>
          <w:rFonts w:hint="eastAsia" w:ascii="仿宋_GB2312" w:hAnsi="仿宋_GB2312" w:cs="仿宋_GB2312"/>
          <w:kern w:val="0"/>
          <w:szCs w:val="32"/>
          <w:shd w:val="clear" w:color="auto" w:fill="FFFFFF"/>
        </w:rPr>
        <w:t>严格按照代管资金使用流程申报使用项目资金</w:t>
      </w:r>
      <w:r>
        <w:rPr>
          <w:rFonts w:hint="eastAsia" w:ascii="仿宋_GB2312" w:hAnsi="仿宋_GB2312" w:cs="仿宋_GB2312"/>
          <w:kern w:val="0"/>
          <w:szCs w:val="32"/>
          <w:shd w:val="clear" w:color="auto" w:fill="FFFFFF"/>
          <w:lang w:val="zh-CN"/>
        </w:rPr>
        <w:t>。</w:t>
      </w:r>
    </w:p>
    <w:p>
      <w:pPr>
        <w:adjustRightInd w:val="0"/>
        <w:snapToGrid w:val="0"/>
        <w:spacing w:line="578" w:lineRule="exact"/>
        <w:ind w:firstLine="642" w:firstLineChars="200"/>
        <w:rPr>
          <w:rFonts w:ascii="仿宋_GB2312" w:hAnsi="仿宋_GB2312" w:cs="仿宋_GB2312"/>
          <w:kern w:val="0"/>
          <w:shd w:val="clear" w:color="auto" w:fill="FFFFFF"/>
          <w:lang w:val="zh-CN"/>
        </w:rPr>
      </w:pPr>
      <w:r>
        <w:rPr>
          <w:rFonts w:hint="eastAsia" w:ascii="楷体_GB2312" w:hAnsi="宋体" w:eastAsia="楷体_GB2312"/>
          <w:b/>
          <w:szCs w:val="32"/>
          <w:lang w:val="zh-CN"/>
        </w:rPr>
        <w:t>（四）项目绩效目标设置。</w:t>
      </w:r>
      <w:r>
        <w:rPr>
          <w:rFonts w:hint="eastAsia" w:ascii="仿宋_GB2312" w:hAnsi="仿宋_GB2312" w:cs="仿宋_GB2312"/>
          <w:kern w:val="0"/>
          <w:szCs w:val="32"/>
          <w:shd w:val="clear" w:color="auto" w:fill="FFFFFF"/>
          <w:lang w:val="zh-CN"/>
        </w:rPr>
        <w:t>根据项目实施情况，设置覆盖监管企业数量、对解决遗留问题完成率的影响程度、对解决问题工作及时性的影响程度、对解决遗留问题工作开展促进度、受遗留问题影响群众满意度、工作人员业务培训费支出绩效目标。</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pPr>
      <w:r>
        <w:rPr>
          <w:rFonts w:hint="eastAsia" w:ascii="楷体_GB2312" w:hAnsi="宋体" w:eastAsia="楷体_GB2312"/>
          <w:b/>
          <w:szCs w:val="32"/>
          <w:lang w:val="zh-CN"/>
        </w:rPr>
        <w:t>（一）评价目的。</w:t>
      </w:r>
      <w:r>
        <w:rPr>
          <w:szCs w:val="32"/>
        </w:rPr>
        <w:t>通过</w:t>
      </w:r>
      <w:r>
        <w:rPr>
          <w:rFonts w:hint="eastAsia"/>
          <w:szCs w:val="32"/>
        </w:rPr>
        <w:t>项目绩效自评，可以及时发现项目实施过程中存在的问题，加强项目的自主监督和管理，提高项目管理能力；可以直观了解项目的实际状态，为类似项目的管理和资金使用提供丰富经验和运行建议。</w:t>
      </w:r>
    </w:p>
    <w:p>
      <w:pPr>
        <w:adjustRightInd w:val="0"/>
        <w:snapToGrid w:val="0"/>
        <w:spacing w:line="578" w:lineRule="exact"/>
        <w:ind w:firstLine="642" w:firstLineChars="200"/>
      </w:pPr>
      <w:r>
        <w:rPr>
          <w:rFonts w:hint="eastAsia" w:ascii="楷体_GB2312" w:hAnsi="宋体" w:eastAsia="楷体_GB2312"/>
          <w:b/>
          <w:szCs w:val="32"/>
          <w:lang w:val="zh-CN"/>
        </w:rPr>
        <w:t>（二）预设问题及评价重点。</w:t>
      </w:r>
      <w:r>
        <w:rPr>
          <w:rFonts w:hint="eastAsia"/>
          <w:szCs w:val="32"/>
        </w:rPr>
        <w:t>按照绩效评价指标体系，我委对项目资金支出使用全过程进行监督，按时评估资金进度，对按时完成项目目标提供有力监督，有效控制了项目实施成本。</w:t>
      </w:r>
    </w:p>
    <w:p>
      <w:pPr>
        <w:adjustRightInd w:val="0"/>
        <w:snapToGrid w:val="0"/>
        <w:spacing w:line="578" w:lineRule="exact"/>
        <w:ind w:firstLine="642" w:firstLineChars="200"/>
        <w:rPr>
          <w:lang w:val="zh-CN"/>
        </w:rPr>
      </w:pPr>
      <w:r>
        <w:rPr>
          <w:rFonts w:hint="eastAsia" w:ascii="楷体_GB2312" w:hAnsi="宋体" w:eastAsia="楷体_GB2312"/>
          <w:b/>
          <w:szCs w:val="32"/>
          <w:lang w:val="zh-CN"/>
        </w:rPr>
        <w:t>（三）评价选点。</w:t>
      </w:r>
      <w:r>
        <w:rPr>
          <w:rFonts w:hint="eastAsia"/>
          <w:szCs w:val="32"/>
          <w:lang w:val="zh-CN"/>
        </w:rPr>
        <w:t>根据</w:t>
      </w:r>
      <w:r>
        <w:rPr>
          <w:rFonts w:hint="eastAsia" w:ascii="仿宋_GB2312" w:hAnsi="仿宋_GB2312" w:cs="仿宋_GB2312"/>
          <w:kern w:val="0"/>
          <w:szCs w:val="32"/>
          <w:shd w:val="clear" w:color="auto" w:fill="FFFFFF"/>
          <w:lang w:val="zh-CN"/>
        </w:rPr>
        <w:t>覆盖监管企业数量、对解决遗留问题完成率的影响程度、对解决问题工作及时性的影响程度、对解决遗留问题工作开展促进度、受遗留问题影响群众满意度、工作人员业务培训费支出</w:t>
      </w:r>
      <w:r>
        <w:rPr>
          <w:rFonts w:hint="eastAsia"/>
          <w:szCs w:val="32"/>
          <w:lang w:val="zh-CN"/>
        </w:rPr>
        <w:t>等指标进行全方位评价。</w:t>
      </w:r>
    </w:p>
    <w:p>
      <w:pPr>
        <w:spacing w:line="578" w:lineRule="exact"/>
        <w:ind w:firstLine="640"/>
      </w:pPr>
      <w:r>
        <w:rPr>
          <w:rFonts w:hint="eastAsia" w:ascii="楷体_GB2312" w:hAnsi="宋体" w:eastAsia="楷体_GB2312"/>
          <w:b/>
          <w:szCs w:val="32"/>
          <w:lang w:val="zh-CN"/>
        </w:rPr>
        <w:t>（四）评价方法。</w:t>
      </w:r>
      <w:r>
        <w:rPr>
          <w:rFonts w:hint="eastAsia"/>
          <w:szCs w:val="32"/>
        </w:rPr>
        <w:t>主要</w:t>
      </w:r>
      <w:r>
        <w:rPr>
          <w:szCs w:val="32"/>
        </w:rPr>
        <w:t>采用</w:t>
      </w:r>
      <w:r>
        <w:rPr>
          <w:rFonts w:hint="eastAsia"/>
          <w:szCs w:val="32"/>
        </w:rPr>
        <w:t>成本效益分析法</w:t>
      </w:r>
      <w:r>
        <w:rPr>
          <w:szCs w:val="32"/>
        </w:rPr>
        <w:t>、单位自评法等方法</w:t>
      </w:r>
      <w:r>
        <w:rPr>
          <w:rFonts w:hint="eastAsia"/>
          <w:szCs w:val="32"/>
        </w:rPr>
        <w:t>。</w:t>
      </w:r>
    </w:p>
    <w:p>
      <w:pPr>
        <w:spacing w:line="578" w:lineRule="exact"/>
        <w:ind w:firstLine="640"/>
        <w:rPr>
          <w:bCs/>
        </w:rPr>
      </w:pPr>
      <w:r>
        <w:rPr>
          <w:rFonts w:hint="eastAsia" w:ascii="楷体_GB2312" w:hAnsi="宋体" w:eastAsia="楷体_GB2312"/>
          <w:b/>
          <w:szCs w:val="32"/>
          <w:lang w:val="zh-CN"/>
        </w:rPr>
        <w:t>（五）评价组织。</w:t>
      </w:r>
      <w:r>
        <w:rPr>
          <w:rFonts w:hint="eastAsia"/>
          <w:szCs w:val="32"/>
        </w:rPr>
        <w:t>项目由办公室实施，由财务人员、财务负责人、相关分管领导进行评价。</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宋体" w:eastAsia="楷体_GB2312"/>
          <w:b/>
        </w:rPr>
      </w:pPr>
      <w:r>
        <w:rPr>
          <w:rFonts w:hint="eastAsia" w:ascii="楷体_GB2312" w:hAnsi="宋体" w:eastAsia="楷体_GB2312"/>
          <w:b/>
          <w:szCs w:val="32"/>
          <w:lang w:val="zh-CN"/>
        </w:rPr>
        <w:t>（一）</w:t>
      </w:r>
      <w:r>
        <w:rPr>
          <w:rFonts w:hint="eastAsia" w:ascii="楷体_GB2312" w:hAnsi="宋体" w:eastAsia="楷体_GB2312"/>
          <w:b/>
          <w:szCs w:val="32"/>
        </w:rPr>
        <w:t>通用指标</w:t>
      </w:r>
      <w:r>
        <w:rPr>
          <w:rFonts w:eastAsia="楷体_GB2312"/>
          <w:b/>
          <w:bCs/>
          <w:color w:val="000000"/>
          <w:kern w:val="0"/>
          <w:szCs w:val="32"/>
          <w:shd w:val="clear" w:color="auto" w:fill="FFFFFF"/>
          <w:lang w:val="zh-CN"/>
        </w:rPr>
        <w:t>绩效分析。</w:t>
      </w:r>
    </w:p>
    <w:p>
      <w:pPr>
        <w:spacing w:line="578" w:lineRule="exact"/>
        <w:ind w:firstLine="640"/>
      </w:pPr>
      <w:r>
        <w:rPr>
          <w:rFonts w:hint="eastAsia" w:ascii="楷体_GB2312" w:hAnsi="楷体_GB2312" w:eastAsia="楷体_GB2312" w:cs="楷体_GB2312"/>
          <w:szCs w:val="32"/>
        </w:rPr>
        <w:t>1.项目决策。</w:t>
      </w:r>
      <w:r>
        <w:rPr>
          <w:rFonts w:hint="eastAsia" w:ascii="仿宋_GB2312" w:hAnsi="仿宋_GB2312" w:cs="仿宋_GB2312"/>
          <w:kern w:val="0"/>
          <w:szCs w:val="32"/>
          <w:shd w:val="clear" w:color="auto" w:fill="FFFFFF"/>
          <w:lang w:val="zh-CN"/>
        </w:rPr>
        <w:t>项目</w:t>
      </w:r>
      <w:r>
        <w:rPr>
          <w:rFonts w:hint="eastAsia"/>
          <w:szCs w:val="32"/>
        </w:rPr>
        <w:t>决策程序规范、规划论证严密、资金投向合规。自评18分。</w:t>
      </w:r>
    </w:p>
    <w:p>
      <w:pPr>
        <w:spacing w:line="578" w:lineRule="exact"/>
        <w:ind w:firstLine="640"/>
      </w:pPr>
      <w:r>
        <w:rPr>
          <w:rFonts w:hint="eastAsia" w:ascii="楷体_GB2312" w:hAnsi="楷体_GB2312" w:eastAsia="楷体_GB2312" w:cs="楷体_GB2312"/>
          <w:szCs w:val="32"/>
        </w:rPr>
        <w:t>2.项目管理。</w:t>
      </w:r>
      <w:r>
        <w:rPr>
          <w:rFonts w:hint="eastAsia"/>
          <w:szCs w:val="32"/>
          <w:lang w:val="zh-CN"/>
        </w:rPr>
        <w:t>资金管理办法等管理制度体系健全完善，不存在管理制度缺失现象，资金分配管理经过前期充分调研，管理规范合理，实施全过程进行监控</w:t>
      </w:r>
      <w:r>
        <w:rPr>
          <w:rFonts w:hint="eastAsia"/>
          <w:szCs w:val="32"/>
        </w:rPr>
        <w:t>。自评18分。</w:t>
      </w:r>
    </w:p>
    <w:p>
      <w:pPr>
        <w:spacing w:line="578" w:lineRule="exact"/>
        <w:ind w:firstLine="640"/>
        <w:rPr>
          <w:lang w:val="zh-CN"/>
        </w:rPr>
      </w:pPr>
      <w:r>
        <w:rPr>
          <w:rFonts w:hint="eastAsia" w:ascii="楷体_GB2312" w:hAnsi="楷体_GB2312" w:eastAsia="楷体_GB2312" w:cs="楷体_GB2312"/>
          <w:szCs w:val="32"/>
        </w:rPr>
        <w:t>3.项目实施。</w:t>
      </w:r>
      <w:r>
        <w:rPr>
          <w:rFonts w:hint="eastAsia"/>
          <w:szCs w:val="32"/>
          <w:lang w:val="zh-CN"/>
        </w:rPr>
        <w:t>我委严格按照代管资金使用流程申报使用项目资金，组织开展相关业务培训工作，解决国企改革改制遗留问题，完成年度目标。</w:t>
      </w:r>
      <w:r>
        <w:rPr>
          <w:rFonts w:hint="eastAsia"/>
          <w:szCs w:val="32"/>
        </w:rPr>
        <w:t>自评9分。</w:t>
      </w:r>
    </w:p>
    <w:p>
      <w:pPr>
        <w:spacing w:line="578" w:lineRule="exact"/>
        <w:ind w:firstLine="640"/>
        <w:rPr>
          <w:lang w:val="zh-CN"/>
        </w:rPr>
      </w:pPr>
      <w:r>
        <w:rPr>
          <w:rFonts w:hint="eastAsia" w:ascii="楷体_GB2312" w:hAnsi="楷体_GB2312" w:eastAsia="楷体_GB2312" w:cs="楷体_GB2312"/>
          <w:szCs w:val="32"/>
        </w:rPr>
        <w:t>4.项目结果。</w:t>
      </w:r>
      <w:r>
        <w:rPr>
          <w:rFonts w:hint="eastAsia"/>
          <w:szCs w:val="32"/>
        </w:rPr>
        <w:t>项目完成预期目标，实施结果与绩效目标相匹配。自评9分。</w:t>
      </w:r>
    </w:p>
    <w:p>
      <w:pPr>
        <w:spacing w:line="578" w:lineRule="exact"/>
        <w:ind w:firstLine="642" w:firstLineChars="200"/>
        <w:rPr>
          <w:rFonts w:ascii="楷体_GB2312" w:hAnsi="楷体_GB2312" w:eastAsia="楷体_GB2312" w:cs="楷体_GB2312"/>
          <w:lang w:val="zh-CN"/>
        </w:rPr>
      </w:pPr>
      <w:r>
        <w:rPr>
          <w:rFonts w:hint="eastAsia" w:ascii="楷体_GB2312" w:hAnsi="宋体" w:eastAsia="楷体_GB2312"/>
          <w:b/>
          <w:szCs w:val="32"/>
          <w:lang w:val="zh-CN"/>
        </w:rPr>
        <w:t>（二）</w:t>
      </w:r>
      <w:r>
        <w:rPr>
          <w:rFonts w:hint="eastAsia" w:ascii="楷体_GB2312" w:hAnsi="宋体" w:eastAsia="楷体_GB2312"/>
          <w:b/>
          <w:szCs w:val="32"/>
        </w:rPr>
        <w:t>专用指标</w:t>
      </w:r>
      <w:r>
        <w:rPr>
          <w:rFonts w:eastAsia="楷体_GB2312"/>
          <w:b/>
          <w:bCs/>
          <w:color w:val="000000"/>
          <w:kern w:val="0"/>
          <w:szCs w:val="32"/>
          <w:shd w:val="clear" w:color="auto" w:fill="FFFFFF"/>
          <w:lang w:val="zh-CN"/>
        </w:rPr>
        <w:t>绩效分析。</w:t>
      </w:r>
    </w:p>
    <w:p>
      <w:pPr>
        <w:spacing w:line="578" w:lineRule="exact"/>
        <w:ind w:firstLine="640" w:firstLineChars="200"/>
      </w:pPr>
      <w:r>
        <w:rPr>
          <w:rFonts w:hint="eastAsia" w:ascii="楷体_GB2312" w:hAnsi="楷体_GB2312" w:eastAsia="楷体_GB2312" w:cs="楷体_GB2312"/>
          <w:szCs w:val="32"/>
          <w:lang w:val="zh-CN"/>
        </w:rPr>
        <w:t>行政运转。</w:t>
      </w:r>
      <w:r>
        <w:rPr>
          <w:rFonts w:hint="eastAsia"/>
          <w:szCs w:val="32"/>
          <w:lang w:val="zh-CN"/>
        </w:rPr>
        <w:t>用途合规性方面，项目经费严格按规定用途、适用范围进行专项资金分配；程序合规性方面，资金管理程序符合专项资金管理要求；标准合规性方面，资金分配标准符合专项资金管理要求。自评</w:t>
      </w:r>
      <w:r>
        <w:rPr>
          <w:rFonts w:hint="eastAsia"/>
          <w:szCs w:val="32"/>
        </w:rPr>
        <w:t>30分。</w:t>
      </w:r>
    </w:p>
    <w:p>
      <w:pPr>
        <w:spacing w:line="578" w:lineRule="exact"/>
        <w:ind w:firstLine="640"/>
        <w:rPr>
          <w:szCs w:val="32"/>
        </w:rPr>
      </w:pPr>
      <w:r>
        <w:rPr>
          <w:rFonts w:hint="eastAsia" w:ascii="楷体_GB2312" w:hAnsi="宋体" w:eastAsia="楷体_GB2312"/>
          <w:b/>
          <w:szCs w:val="32"/>
          <w:lang w:val="zh-CN"/>
        </w:rPr>
        <w:t>（三）</w:t>
      </w:r>
      <w:r>
        <w:rPr>
          <w:rFonts w:hint="eastAsia" w:ascii="楷体_GB2312" w:hAnsi="宋体" w:eastAsia="楷体_GB2312"/>
          <w:b/>
          <w:szCs w:val="32"/>
        </w:rPr>
        <w:t>个性指标</w:t>
      </w:r>
      <w:r>
        <w:rPr>
          <w:rFonts w:eastAsia="楷体_GB2312"/>
          <w:b/>
          <w:bCs/>
          <w:color w:val="000000"/>
          <w:kern w:val="0"/>
          <w:szCs w:val="32"/>
          <w:shd w:val="clear" w:color="auto" w:fill="FFFFFF"/>
          <w:lang w:val="zh-CN"/>
        </w:rPr>
        <w:t>绩效分析。</w:t>
      </w:r>
      <w:r>
        <w:rPr>
          <w:rFonts w:hint="eastAsia"/>
          <w:szCs w:val="32"/>
          <w:lang w:val="zh-CN"/>
        </w:rPr>
        <w:t>根据项目个性自行设定绩效目标分析情况如下：国企改革改制覆盖监管企业数量</w:t>
      </w:r>
      <w:r>
        <w:rPr>
          <w:rFonts w:hint="eastAsia"/>
          <w:szCs w:val="32"/>
        </w:rPr>
        <w:t>11家，得6分；项目执行对解决遗留问题完成率的影响程度中等，执行进度较为缓慢，得4分；受遗留问题影响群众满意度达到90%，得4分</w:t>
      </w:r>
      <w:r>
        <w:rPr>
          <w:rFonts w:hint="eastAsia"/>
          <w:szCs w:val="32"/>
          <w:lang w:val="zh-CN"/>
        </w:rPr>
        <w:t>。自评得</w:t>
      </w:r>
      <w:r>
        <w:rPr>
          <w:rFonts w:hint="eastAsia"/>
          <w:szCs w:val="32"/>
        </w:rPr>
        <w:t>14分。</w:t>
      </w:r>
    </w:p>
    <w:p>
      <w:pPr>
        <w:spacing w:line="578" w:lineRule="exact"/>
        <w:ind w:firstLine="640"/>
        <w:rPr>
          <w:rFonts w:ascii="黑体" w:hAnsi="宋体" w:eastAsia="黑体"/>
          <w:szCs w:val="32"/>
        </w:rPr>
      </w:pPr>
      <w:r>
        <w:rPr>
          <w:rFonts w:hint="eastAsia" w:ascii="黑体" w:hAnsi="宋体" w:eastAsia="黑体"/>
          <w:szCs w:val="32"/>
        </w:rPr>
        <w:t>四、评价结论</w:t>
      </w:r>
    </w:p>
    <w:p>
      <w:pPr>
        <w:spacing w:line="578" w:lineRule="exact"/>
        <w:ind w:firstLine="640"/>
        <w:rPr>
          <w:rFonts w:ascii="仿宋_GB2312" w:hAnsi="仿宋_GB2312" w:cs="仿宋_GB2312"/>
          <w:kern w:val="0"/>
          <w:szCs w:val="32"/>
        </w:rPr>
      </w:pPr>
      <w:r>
        <w:rPr>
          <w:rFonts w:hint="eastAsia" w:ascii="仿宋_GB2312" w:hAnsi="仿宋_GB2312" w:cs="仿宋_GB2312"/>
          <w:kern w:val="0"/>
          <w:szCs w:val="32"/>
        </w:rPr>
        <w:t>我委严格按照代管资金使用流程申报使用项目资金，完成年度目标；但前期存在预算执行进度较为缓慢情况，扣2分，自评98分。</w:t>
      </w:r>
    </w:p>
    <w:p>
      <w:pPr>
        <w:spacing w:line="578" w:lineRule="exact"/>
        <w:ind w:firstLine="640"/>
        <w:rPr>
          <w:rFonts w:ascii="黑体" w:hAnsi="宋体" w:eastAsia="黑体"/>
          <w:szCs w:val="32"/>
        </w:rPr>
      </w:pPr>
      <w:r>
        <w:rPr>
          <w:rFonts w:hint="eastAsia" w:ascii="黑体" w:hAnsi="黑体" w:eastAsia="黑体"/>
          <w:szCs w:val="32"/>
        </w:rPr>
        <w:t>五、存在主要问</w:t>
      </w:r>
      <w:r>
        <w:rPr>
          <w:rFonts w:hint="eastAsia" w:ascii="黑体" w:hAnsi="宋体" w:eastAsia="黑体"/>
          <w:szCs w:val="32"/>
        </w:rPr>
        <w:t>题</w:t>
      </w:r>
    </w:p>
    <w:p>
      <w:pPr>
        <w:spacing w:line="578" w:lineRule="exact"/>
        <w:ind w:firstLine="640"/>
        <w:rPr>
          <w:rFonts w:ascii="仿宋_GB2312" w:hAnsi="仿宋_GB2312" w:cs="仿宋_GB2312"/>
          <w:kern w:val="0"/>
          <w:szCs w:val="32"/>
        </w:rPr>
      </w:pPr>
      <w:r>
        <w:rPr>
          <w:rFonts w:hint="eastAsia" w:ascii="仿宋_GB2312" w:hAnsi="仿宋_GB2312" w:cs="仿宋_GB2312"/>
          <w:kern w:val="0"/>
          <w:szCs w:val="32"/>
        </w:rPr>
        <w:t>预算执行进度缓慢，年底才全面推进项目实施。</w:t>
      </w:r>
    </w:p>
    <w:p>
      <w:pPr>
        <w:spacing w:line="578" w:lineRule="exact"/>
        <w:ind w:firstLine="640"/>
      </w:pPr>
      <w:r>
        <w:rPr>
          <w:rFonts w:hint="eastAsia" w:ascii="黑体" w:hAnsi="宋体" w:eastAsia="黑体"/>
          <w:kern w:val="0"/>
          <w:position w:val="3"/>
          <w:szCs w:val="32"/>
          <w:lang w:val="zh-CN"/>
        </w:rPr>
        <w:t>六、改进建议</w:t>
      </w:r>
    </w:p>
    <w:p>
      <w:pPr>
        <w:tabs>
          <w:tab w:val="left" w:pos="1911"/>
        </w:tabs>
        <w:ind w:firstLine="640" w:firstLineChars="200"/>
        <w:jc w:val="left"/>
        <w:rPr>
          <w:rFonts w:ascii="仿宋_GB2312" w:hAnsi="仿宋_GB2312" w:cs="仿宋_GB2312"/>
          <w:kern w:val="0"/>
          <w:lang w:val="en"/>
        </w:rPr>
      </w:pPr>
      <w:r>
        <w:rPr>
          <w:rFonts w:hint="eastAsia" w:ascii="仿宋_GB2312" w:hAnsi="仿宋_GB2312" w:cs="仿宋_GB2312"/>
          <w:kern w:val="0"/>
          <w:szCs w:val="32"/>
        </w:rPr>
        <w:t>规范项目实施计划，有序使用项目资金。</w:t>
      </w: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tabs>
          <w:tab w:val="left" w:pos="5070"/>
        </w:tabs>
        <w:spacing w:line="578" w:lineRule="exact"/>
        <w:jc w:val="left"/>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tab/>
      </w:r>
    </w:p>
    <w:p>
      <w:pPr>
        <w:pStyle w:val="38"/>
        <w:tabs>
          <w:tab w:val="left" w:pos="5070"/>
        </w:tabs>
        <w:spacing w:line="578" w:lineRule="exact"/>
        <w:jc w:val="left"/>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tabs>
          <w:tab w:val="left" w:pos="5070"/>
        </w:tabs>
        <w:spacing w:line="578" w:lineRule="exact"/>
        <w:jc w:val="left"/>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38"/>
        <w:spacing w:line="560" w:lineRule="exact"/>
        <w:jc w:val="center"/>
        <w:rPr>
          <w:rFonts w:hint="eastAsia" w:ascii="方正小标宋简体" w:eastAsia="方正小标宋简体" w:cs="方正小标宋简体"/>
          <w:color w:val="auto"/>
          <w:kern w:val="2"/>
          <w:sz w:val="44"/>
          <w:szCs w:val="44"/>
          <w:lang w:val="en-US"/>
        </w:rPr>
      </w:pPr>
    </w:p>
    <w:p>
      <w:pPr>
        <w:pStyle w:val="38"/>
        <w:spacing w:line="560" w:lineRule="exact"/>
        <w:jc w:val="center"/>
        <w:rPr>
          <w:rFonts w:hint="eastAsia" w:ascii="方正小标宋简体" w:eastAsia="方正小标宋简体" w:cs="方正小标宋简体"/>
          <w:color w:val="auto"/>
          <w:kern w:val="2"/>
          <w:sz w:val="44"/>
          <w:szCs w:val="44"/>
          <w:lang w:val="en-US"/>
        </w:rPr>
      </w:pPr>
      <w:r>
        <w:rPr>
          <w:rFonts w:hint="eastAsia" w:ascii="方正小标宋简体" w:eastAsia="方正小标宋简体" w:cs="方正小标宋简体"/>
          <w:color w:val="auto"/>
          <w:kern w:val="2"/>
          <w:sz w:val="44"/>
          <w:szCs w:val="44"/>
          <w:lang w:val="en-US"/>
        </w:rPr>
        <w:t>关于招商引资工作经费项目的</w:t>
      </w:r>
    </w:p>
    <w:p>
      <w:pPr>
        <w:pStyle w:val="38"/>
        <w:spacing w:line="560" w:lineRule="exact"/>
        <w:jc w:val="center"/>
        <w:rPr>
          <w:rFonts w:hint="eastAsia" w:ascii="方正小标宋简体" w:eastAsia="方正小标宋简体" w:cs="方正小标宋简体"/>
          <w:color w:val="auto"/>
          <w:kern w:val="2"/>
          <w:sz w:val="44"/>
          <w:szCs w:val="44"/>
          <w:lang w:val="en-US"/>
        </w:rPr>
      </w:pPr>
      <w:r>
        <w:rPr>
          <w:rFonts w:hint="eastAsia" w:ascii="方正小标宋简体" w:eastAsia="方正小标宋简体" w:cs="方正小标宋简体"/>
          <w:color w:val="auto"/>
          <w:kern w:val="2"/>
          <w:sz w:val="44"/>
          <w:szCs w:val="44"/>
          <w:lang w:val="en-US"/>
        </w:rPr>
        <w:t>绩效自评报告</w:t>
      </w:r>
    </w:p>
    <w:p>
      <w:pPr>
        <w:pStyle w:val="38"/>
        <w:spacing w:line="560" w:lineRule="exact"/>
        <w:ind w:firstLine="640"/>
        <w:jc w:val="center"/>
        <w:rPr>
          <w:rFonts w:hint="eastAsia" w:ascii="宋体"/>
          <w:color w:val="auto"/>
          <w:kern w:val="2"/>
          <w:sz w:val="32"/>
          <w:szCs w:val="32"/>
        </w:rPr>
      </w:pPr>
    </w:p>
    <w:p>
      <w:pPr>
        <w:adjustRightInd w:val="0"/>
        <w:snapToGrid w:val="0"/>
        <w:spacing w:line="560" w:lineRule="exact"/>
        <w:ind w:firstLine="640" w:firstLineChars="200"/>
        <w:rPr>
          <w:rFonts w:ascii="黑体" w:eastAsia="黑体"/>
          <w:lang w:val="zh-CN"/>
        </w:rPr>
      </w:pPr>
      <w:r>
        <w:rPr>
          <w:rFonts w:hint="eastAsia" w:ascii="黑体" w:eastAsia="黑体"/>
        </w:rPr>
        <w:t>一、</w:t>
      </w:r>
      <w:r>
        <w:rPr>
          <w:rFonts w:hint="eastAsia" w:ascii="黑体" w:eastAsia="黑体"/>
          <w:lang w:val="zh-CN"/>
        </w:rPr>
        <w:t>项目概况</w:t>
      </w:r>
    </w:p>
    <w:p>
      <w:pPr>
        <w:widowControl/>
        <w:adjustRightInd w:val="0"/>
        <w:snapToGrid w:val="0"/>
        <w:spacing w:line="560" w:lineRule="exact"/>
        <w:ind w:firstLine="642" w:firstLineChars="200"/>
        <w:contextualSpacing/>
        <w:rPr>
          <w:rFonts w:ascii="楷体_GB2312" w:eastAsia="楷体_GB2312"/>
          <w:b/>
          <w:lang w:val="zh-CN"/>
        </w:rPr>
      </w:pPr>
      <w:r>
        <w:rPr>
          <w:rFonts w:hint="eastAsia" w:ascii="楷体_GB2312" w:eastAsia="楷体_GB2312"/>
          <w:b/>
          <w:szCs w:val="32"/>
          <w:lang w:val="zh-CN"/>
        </w:rPr>
        <w:t>（一）设立背景及基本情况。</w:t>
      </w:r>
      <w:r>
        <w:rPr>
          <w:rFonts w:hint="eastAsia" w:ascii="仿宋_GB2312" w:cs="仿宋_GB2312"/>
          <w:kern w:val="0"/>
          <w:shd w:val="clear" w:color="auto" w:fill="FFFFFF"/>
          <w:lang w:val="zh-CN"/>
        </w:rPr>
        <w:t>招商引资、扩大开放是加快经济社会发展的重要手段，是实施战略和加快主导产业建设步伐的重大举措。根据《中共广元市委关于深入学习贯彻习近平总书记来川视察重要指示精神全面落实省委决策部署全力以赴拼经济搞建设的意见》（广委发〔2022〕11 号）和《广元市人民政府关于印发稳住经济增长若干政策具体措施的通知》（广府发〔2022〕19 号）精神，以科学发展规划为指导，研究招商引资规律，紧密结合广元当地资源优势和产业特点，聚焦市属国有企业主责主业，科学制定招商引资规划，改进促进服务工作，在保证质量优化结构的前提下，不断扩大引资规模。继续把改善投资环境和扩大招商引资放在经济工作的重要位置，按照市场经济规律，加强组织引导和监督管理。切实把全局抓项目落实到招商引资工作的实际行动中，扩大开放合作。</w:t>
      </w:r>
    </w:p>
    <w:p>
      <w:pPr>
        <w:adjustRightInd w:val="0"/>
        <w:snapToGrid w:val="0"/>
        <w:spacing w:line="560" w:lineRule="exact"/>
        <w:ind w:firstLine="642" w:firstLineChars="200"/>
        <w:rPr>
          <w:rFonts w:ascii="楷体_GB2312" w:eastAsia="楷体_GB2312"/>
          <w:b/>
          <w:lang w:val="zh-CN"/>
        </w:rPr>
      </w:pPr>
      <w:r>
        <w:rPr>
          <w:rFonts w:hint="eastAsia" w:ascii="楷体_GB2312" w:eastAsia="楷体_GB2312"/>
          <w:b/>
          <w:szCs w:val="32"/>
          <w:lang w:val="zh-CN"/>
        </w:rPr>
        <w:t>（二）</w:t>
      </w:r>
      <w:r>
        <w:rPr>
          <w:rFonts w:ascii="楷体_GB2312" w:eastAsia="楷体_GB2312"/>
          <w:b/>
          <w:szCs w:val="32"/>
        </w:rPr>
        <w:t>实施目的及支持方向</w:t>
      </w:r>
      <w:r>
        <w:rPr>
          <w:rFonts w:hint="eastAsia" w:ascii="楷体_GB2312" w:eastAsia="楷体_GB2312"/>
          <w:b/>
          <w:szCs w:val="32"/>
        </w:rPr>
        <w:t>。</w:t>
      </w:r>
      <w:r>
        <w:rPr>
          <w:rFonts w:hint="eastAsia" w:ascii="仿宋_GB2312" w:cs="仿宋_GB2312"/>
          <w:kern w:val="0"/>
          <w:shd w:val="clear" w:color="auto" w:fill="FFFFFF"/>
          <w:lang w:val="zh-CN"/>
        </w:rPr>
        <w:t>邀请意向企业来广投资、组织招商小分队到有意向投资的企业考察等招商活动。</w:t>
      </w:r>
    </w:p>
    <w:p>
      <w:pPr>
        <w:widowControl/>
        <w:adjustRightInd w:val="0"/>
        <w:snapToGrid w:val="0"/>
        <w:spacing w:line="560" w:lineRule="exact"/>
        <w:ind w:firstLine="642" w:firstLineChars="200"/>
        <w:contextualSpacing/>
        <w:jc w:val="left"/>
        <w:rPr>
          <w:rFonts w:ascii="仿宋_GB2312" w:cs="仿宋_GB2312"/>
          <w:kern w:val="0"/>
          <w:shd w:val="clear" w:color="auto" w:fill="FFFFFF"/>
          <w:lang w:val="zh-CN"/>
        </w:rPr>
      </w:pPr>
      <w:r>
        <w:rPr>
          <w:rFonts w:hint="eastAsia" w:ascii="楷体_GB2312" w:eastAsia="楷体_GB2312"/>
          <w:b/>
          <w:szCs w:val="32"/>
          <w:lang w:val="zh-CN"/>
        </w:rPr>
        <w:t>（三）</w:t>
      </w:r>
      <w:r>
        <w:rPr>
          <w:rFonts w:ascii="楷体_GB2312" w:eastAsia="楷体_GB2312"/>
          <w:b/>
          <w:szCs w:val="32"/>
        </w:rPr>
        <w:t>预算安排及分配管理</w:t>
      </w:r>
      <w:r>
        <w:rPr>
          <w:rFonts w:hint="eastAsia" w:ascii="楷体_GB2312" w:eastAsia="楷体_GB2312"/>
          <w:b/>
          <w:szCs w:val="32"/>
          <w:lang w:val="zh-CN"/>
        </w:rPr>
        <w:t>。</w:t>
      </w:r>
      <w:r>
        <w:rPr>
          <w:rFonts w:hint="eastAsia" w:ascii="仿宋_GB2312" w:cs="仿宋_GB2312"/>
          <w:kern w:val="0"/>
          <w:shd w:val="clear" w:color="auto" w:fill="FFFFFF"/>
          <w:lang w:val="zh-CN"/>
        </w:rPr>
        <w:t>2023年，市财政根据招商引资实际情况，拨付20万元作为工作经费，用于</w:t>
      </w:r>
      <w:r>
        <w:rPr>
          <w:rFonts w:hint="eastAsia" w:ascii="仿宋_GB2312" w:cs="仿宋_GB2312"/>
          <w:kern w:val="0"/>
          <w:szCs w:val="32"/>
          <w:shd w:val="clear" w:color="auto" w:fill="FFFFFF"/>
          <w:lang w:val="zh-CN"/>
        </w:rPr>
        <w:t>主要领导外出招商</w:t>
      </w:r>
      <w:r>
        <w:rPr>
          <w:rFonts w:ascii="仿宋_GB2312" w:cs="仿宋_GB2312"/>
          <w:kern w:val="0"/>
          <w:szCs w:val="32"/>
          <w:shd w:val="clear" w:color="auto" w:fill="FFFFFF"/>
          <w:lang w:val="zh-CN"/>
        </w:rPr>
        <w:t>、</w:t>
      </w:r>
      <w:r>
        <w:rPr>
          <w:rFonts w:hint="eastAsia" w:ascii="仿宋_GB2312" w:cs="仿宋_GB2312"/>
          <w:kern w:val="0"/>
          <w:szCs w:val="32"/>
          <w:shd w:val="clear" w:color="auto" w:fill="FFFFFF"/>
          <w:lang w:val="zh-CN"/>
        </w:rPr>
        <w:t>招商引资活动举办，企业洽谈及其他招商引资相关工作。</w:t>
      </w:r>
    </w:p>
    <w:p>
      <w:pPr>
        <w:adjustRightInd w:val="0"/>
        <w:snapToGrid w:val="0"/>
        <w:spacing w:line="560" w:lineRule="exact"/>
        <w:ind w:firstLine="642" w:firstLineChars="200"/>
        <w:rPr>
          <w:rFonts w:ascii="仿宋_GB2312" w:cs="仿宋_GB2312"/>
          <w:color w:val="000000"/>
          <w:kern w:val="0"/>
          <w:lang w:val="zh-CN"/>
        </w:rPr>
      </w:pPr>
      <w:r>
        <w:rPr>
          <w:rFonts w:hint="eastAsia" w:ascii="楷体_GB2312" w:eastAsia="楷体_GB2312"/>
          <w:b/>
          <w:szCs w:val="32"/>
          <w:lang w:val="zh-CN"/>
        </w:rPr>
        <w:t>（四）项目绩效目标设置。</w:t>
      </w:r>
      <w:r>
        <w:rPr>
          <w:rFonts w:hint="eastAsia" w:ascii="仿宋_GB2312" w:cs="仿宋_GB2312"/>
          <w:kern w:val="0"/>
          <w:szCs w:val="32"/>
          <w:shd w:val="clear" w:color="auto" w:fill="FFFFFF"/>
        </w:rPr>
        <w:t>做好市属国有企业招商引资工作，完成市委市政府下达的招商引资目标任务。聚焦国企主责主业，把握重点招商区域，去成渝经济圈、珠三角等区域开展招商活动，跟踪产业，做好项目对接。编制招商画册等所需资料以及其他项目投资有关工作。</w:t>
      </w:r>
      <w:r>
        <w:rPr>
          <w:rFonts w:ascii="仿宋_GB2312" w:cs="仿宋_GB2312"/>
          <w:kern w:val="0"/>
          <w:szCs w:val="32"/>
          <w:shd w:val="clear" w:color="auto" w:fill="FFFFFF"/>
        </w:rPr>
        <w:t>计划2024年完成招商引资项目洽谈5个，签订意向协议1个，组织招商小分队到意向投资的企业考察、邀请来广考察5次，洽谈亿元以上项目1个。</w:t>
      </w:r>
    </w:p>
    <w:p>
      <w:pPr>
        <w:adjustRightInd w:val="0"/>
        <w:snapToGrid w:val="0"/>
        <w:spacing w:line="560" w:lineRule="exact"/>
        <w:ind w:firstLine="640" w:firstLineChars="200"/>
        <w:rPr>
          <w:rFonts w:ascii="黑体" w:eastAsia="黑体"/>
        </w:rPr>
      </w:pPr>
      <w:r>
        <w:rPr>
          <w:rFonts w:hint="eastAsia" w:ascii="黑体" w:eastAsia="黑体"/>
        </w:rPr>
        <w:t>二、评价实施</w:t>
      </w:r>
    </w:p>
    <w:p>
      <w:pPr>
        <w:spacing w:line="560" w:lineRule="exact"/>
        <w:ind w:firstLine="640"/>
      </w:pPr>
      <w:r>
        <w:rPr>
          <w:rFonts w:hint="eastAsia" w:ascii="楷体_GB2312" w:eastAsia="楷体_GB2312"/>
          <w:b/>
          <w:szCs w:val="32"/>
          <w:lang w:val="zh-CN"/>
        </w:rPr>
        <w:t>（一）评价目的。</w:t>
      </w:r>
      <w:r>
        <w:rPr>
          <w:lang w:val="zh-CN"/>
        </w:rPr>
        <w:t>通过项目绩效自评体现项目的经济效益、社会效益、和环境效益，</w:t>
      </w:r>
      <w:r>
        <w:rPr>
          <w:szCs w:val="32"/>
        </w:rPr>
        <w:t>更好的完成市属国有企业招商引资工作</w:t>
      </w:r>
      <w:r>
        <w:rPr>
          <w:rFonts w:hint="eastAsia"/>
          <w:szCs w:val="32"/>
        </w:rPr>
        <w:t>。</w:t>
      </w:r>
    </w:p>
    <w:p>
      <w:pPr>
        <w:adjustRightInd w:val="0"/>
        <w:snapToGrid w:val="0"/>
        <w:spacing w:line="560" w:lineRule="exact"/>
        <w:ind w:firstLine="642" w:firstLineChars="200"/>
      </w:pPr>
      <w:r>
        <w:rPr>
          <w:rFonts w:hint="eastAsia" w:ascii="楷体_GB2312" w:eastAsia="楷体_GB2312"/>
          <w:b/>
          <w:szCs w:val="32"/>
          <w:lang w:val="zh-CN"/>
        </w:rPr>
        <w:t>（二）预设问题及评价重点。</w:t>
      </w:r>
      <w:r>
        <w:rPr>
          <w:szCs w:val="32"/>
        </w:rPr>
        <w:t>根据项目实际情况，将指标评价体系中的项目管理作为评价重点；将资金使用拨付、项目实施是否符合规定作为预设问题。</w:t>
      </w:r>
    </w:p>
    <w:p>
      <w:pPr>
        <w:adjustRightInd w:val="0"/>
        <w:snapToGrid w:val="0"/>
        <w:spacing w:line="560" w:lineRule="exact"/>
        <w:ind w:firstLine="642" w:firstLineChars="200"/>
        <w:rPr>
          <w:lang w:val="zh-CN"/>
        </w:rPr>
      </w:pPr>
      <w:r>
        <w:rPr>
          <w:rFonts w:hint="eastAsia" w:ascii="楷体_GB2312" w:eastAsia="楷体_GB2312"/>
          <w:b/>
          <w:szCs w:val="32"/>
          <w:lang w:val="zh-CN"/>
        </w:rPr>
        <w:t>（三）评价选</w:t>
      </w:r>
      <w:r>
        <w:rPr>
          <w:rFonts w:hint="eastAsia" w:ascii="楷体_GB2312" w:eastAsia="楷体_GB2312"/>
          <w:b/>
          <w:color w:val="000000"/>
          <w:szCs w:val="32"/>
          <w:lang w:val="zh-CN"/>
        </w:rPr>
        <w:t>点。</w:t>
      </w:r>
      <w:r>
        <w:rPr>
          <w:rFonts w:hint="eastAsia" w:ascii="仿宋_GB2312" w:cs="仿宋_GB2312"/>
          <w:color w:val="000000"/>
          <w:kern w:val="0"/>
          <w:lang w:val="zh-CN"/>
        </w:rPr>
        <w:t>主要对资金使用情况进行抽查</w:t>
      </w:r>
      <w:r>
        <w:rPr>
          <w:rFonts w:hint="eastAsia"/>
          <w:color w:val="000000"/>
          <w:szCs w:val="32"/>
          <w:lang w:val="zh-CN"/>
        </w:rPr>
        <w:t>。</w:t>
      </w:r>
    </w:p>
    <w:p>
      <w:pPr>
        <w:spacing w:line="560" w:lineRule="exact"/>
        <w:ind w:firstLine="640"/>
      </w:pPr>
      <w:r>
        <w:rPr>
          <w:rFonts w:hint="eastAsia" w:ascii="楷体_GB2312" w:eastAsia="楷体_GB2312"/>
          <w:b/>
          <w:szCs w:val="32"/>
          <w:lang w:val="zh-CN"/>
        </w:rPr>
        <w:t>（四）评价方法。</w:t>
      </w:r>
      <w:r>
        <w:rPr>
          <w:rFonts w:hint="eastAsia" w:ascii="仿宋_GB2312" w:cs="仿宋_GB2312"/>
          <w:color w:val="000000"/>
          <w:kern w:val="0"/>
          <w:lang w:val="zh-CN"/>
        </w:rPr>
        <w:t>招商引资项目前期工作经费的绩效自评采用定量与定性相结合，经费投入与产出相结合的办法</w:t>
      </w:r>
      <w:r>
        <w:rPr>
          <w:rFonts w:hint="eastAsia"/>
          <w:color w:val="000000"/>
          <w:szCs w:val="32"/>
        </w:rPr>
        <w:t>。</w:t>
      </w:r>
    </w:p>
    <w:p>
      <w:pPr>
        <w:spacing w:line="560" w:lineRule="exact"/>
        <w:ind w:firstLine="640"/>
        <w:rPr>
          <w:bCs/>
        </w:rPr>
      </w:pPr>
      <w:r>
        <w:rPr>
          <w:rFonts w:hint="eastAsia" w:ascii="楷体_GB2312" w:eastAsia="楷体_GB2312"/>
          <w:b/>
          <w:szCs w:val="32"/>
          <w:lang w:val="zh-CN"/>
        </w:rPr>
        <w:t>（五）评价组织。</w:t>
      </w:r>
      <w:r>
        <w:rPr>
          <w:rFonts w:hint="eastAsia" w:ascii="仿宋_GB2312" w:cs="仿宋_GB2312"/>
          <w:color w:val="000000"/>
          <w:kern w:val="0"/>
          <w:lang w:val="zh-CN"/>
        </w:rPr>
        <w:t>由财务部及投资科组成评价小组，财务部对财务指标进行自评价，投资科对数量类指标进行自评价</w:t>
      </w:r>
      <w:r>
        <w:rPr>
          <w:rFonts w:hint="eastAsia"/>
          <w:color w:val="000000"/>
          <w:szCs w:val="32"/>
        </w:rPr>
        <w:t>。</w:t>
      </w:r>
    </w:p>
    <w:p>
      <w:pPr>
        <w:adjustRightInd w:val="0"/>
        <w:snapToGrid w:val="0"/>
        <w:spacing w:line="560" w:lineRule="exact"/>
        <w:ind w:firstLine="640" w:firstLineChars="200"/>
        <w:rPr>
          <w:rFonts w:ascii="仿宋_GB2312"/>
          <w:lang w:val="zh-CN"/>
        </w:rPr>
      </w:pPr>
      <w:r>
        <w:rPr>
          <w:rFonts w:hint="eastAsia" w:ascii="黑体" w:eastAsia="黑体"/>
          <w:szCs w:val="32"/>
        </w:rPr>
        <w:t>三、绩效分析</w:t>
      </w:r>
      <w:r>
        <w:rPr>
          <w:rFonts w:hint="eastAsia" w:ascii="仿宋_GB2312"/>
          <w:szCs w:val="32"/>
          <w:lang w:val="zh-CN"/>
        </w:rPr>
        <w:tab/>
      </w:r>
    </w:p>
    <w:p>
      <w:pPr>
        <w:spacing w:line="560" w:lineRule="exact"/>
        <w:ind w:firstLine="640"/>
        <w:rPr>
          <w:rFonts w:ascii="楷体_GB2312" w:eastAsia="楷体_GB2312"/>
          <w:b/>
        </w:rPr>
      </w:pPr>
      <w:r>
        <w:rPr>
          <w:rFonts w:hint="eastAsia" w:ascii="楷体_GB2312" w:eastAsia="楷体_GB2312"/>
          <w:b/>
          <w:szCs w:val="32"/>
          <w:lang w:val="zh-CN"/>
        </w:rPr>
        <w:t>（一）</w:t>
      </w:r>
      <w:r>
        <w:rPr>
          <w:rFonts w:ascii="楷体_GB2312" w:eastAsia="楷体_GB2312"/>
          <w:b/>
          <w:szCs w:val="32"/>
        </w:rPr>
        <w:t>产出</w:t>
      </w:r>
      <w:r>
        <w:rPr>
          <w:rFonts w:hint="eastAsia" w:ascii="楷体_GB2312" w:eastAsia="楷体_GB2312"/>
          <w:b/>
          <w:szCs w:val="32"/>
        </w:rPr>
        <w:t>指标</w:t>
      </w:r>
      <w:r>
        <w:rPr>
          <w:rFonts w:eastAsia="楷体_GB2312"/>
          <w:b/>
          <w:bCs/>
          <w:color w:val="000000"/>
          <w:kern w:val="0"/>
          <w:szCs w:val="32"/>
          <w:shd w:val="clear" w:color="auto" w:fill="FFFFFF"/>
          <w:lang w:val="zh-CN"/>
        </w:rPr>
        <w:t>绩效分析</w:t>
      </w:r>
    </w:p>
    <w:p>
      <w:pPr>
        <w:spacing w:line="560" w:lineRule="exact"/>
        <w:ind w:firstLine="640"/>
        <w:rPr>
          <w:color w:val="FF0000"/>
        </w:rPr>
      </w:pPr>
      <w:r>
        <w:rPr>
          <w:rFonts w:hint="eastAsia" w:ascii="楷体_GB2312" w:eastAsia="楷体_GB2312" w:cs="楷体_GB2312"/>
          <w:szCs w:val="32"/>
        </w:rPr>
        <w:t>1.项目决策</w:t>
      </w:r>
      <w:r>
        <w:rPr>
          <w:rFonts w:hint="eastAsia" w:ascii="楷体_GB2312" w:eastAsia="楷体_GB2312" w:cs="楷体_GB2312"/>
          <w:color w:val="000000"/>
          <w:szCs w:val="32"/>
        </w:rPr>
        <w:t>。</w:t>
      </w:r>
      <w:r>
        <w:rPr>
          <w:color w:val="000000"/>
          <w:szCs w:val="32"/>
        </w:rPr>
        <w:t>为做好市属国有企业招商引资工作，前往北京、深圳、山东元正、福建正山堂、武夷山瑞泉茶业等地区参加招商推介活动，进一步扩大市属国有企业的影响力、知名度</w:t>
      </w:r>
      <w:r>
        <w:rPr>
          <w:rFonts w:hint="eastAsia"/>
          <w:color w:val="000000"/>
          <w:szCs w:val="32"/>
        </w:rPr>
        <w:t>。</w:t>
      </w:r>
    </w:p>
    <w:p>
      <w:pPr>
        <w:spacing w:line="560" w:lineRule="exact"/>
        <w:ind w:firstLine="640"/>
      </w:pPr>
      <w:r>
        <w:rPr>
          <w:rFonts w:hint="eastAsia" w:ascii="楷体_GB2312" w:eastAsia="楷体_GB2312" w:cs="楷体_GB2312"/>
          <w:szCs w:val="32"/>
        </w:rPr>
        <w:t>2.项目管理。</w:t>
      </w:r>
      <w:r>
        <w:rPr>
          <w:szCs w:val="32"/>
        </w:rPr>
        <w:t>在项目实施过程中，根据项目年度目标，紧紧围绕市委、市政府“优化营商环境”工作部署，通过转变招商引资思路、提高服务工作和开展以商招商等措施，确保项目按时按质完成。</w:t>
      </w:r>
    </w:p>
    <w:p>
      <w:pPr>
        <w:spacing w:line="560" w:lineRule="exact"/>
        <w:ind w:firstLine="640"/>
        <w:rPr>
          <w:rFonts w:ascii="楷体_GB2312" w:eastAsia="楷体_GB2312" w:cs="楷体_GB2312"/>
        </w:rPr>
      </w:pPr>
      <w:r>
        <w:rPr>
          <w:rFonts w:hint="eastAsia" w:ascii="楷体_GB2312" w:eastAsia="楷体_GB2312" w:cs="楷体_GB2312"/>
          <w:szCs w:val="32"/>
        </w:rPr>
        <w:t>3.项目实施。</w:t>
      </w:r>
      <w:r>
        <w:rPr>
          <w:rFonts w:hint="eastAsia"/>
          <w:color w:val="000000"/>
          <w:szCs w:val="32"/>
        </w:rPr>
        <w:t>严格按照财务管理制度，提高资金使用效益，资金主要用于办公耗材、委托招商、招商引资宣传材料印制、外出招商引资开支的差旅费、接待客商等招商引资工作所需的费用。</w:t>
      </w:r>
    </w:p>
    <w:p>
      <w:pPr>
        <w:spacing w:line="560" w:lineRule="exact"/>
        <w:ind w:firstLine="640" w:firstLineChars="200"/>
      </w:pPr>
      <w:r>
        <w:rPr>
          <w:rFonts w:ascii="楷体_GB2312" w:eastAsia="楷体_GB2312" w:cs="楷体_GB2312"/>
          <w:szCs w:val="32"/>
        </w:rPr>
        <w:t>4</w:t>
      </w:r>
      <w:r>
        <w:rPr>
          <w:rFonts w:hint="eastAsia" w:ascii="楷体_GB2312" w:eastAsia="楷体_GB2312" w:cs="楷体_GB2312"/>
          <w:szCs w:val="32"/>
        </w:rPr>
        <w:t>.项目结果。</w:t>
      </w:r>
      <w:r>
        <w:rPr>
          <w:rFonts w:hint="eastAsia"/>
        </w:rPr>
        <w:t>全年完成招商引资项目洽谈</w:t>
      </w:r>
      <w:r>
        <w:t>7</w:t>
      </w:r>
      <w:r>
        <w:rPr>
          <w:rFonts w:hint="eastAsia"/>
        </w:rPr>
        <w:t>个，签订意向协议</w:t>
      </w:r>
      <w:r>
        <w:t>2</w:t>
      </w:r>
      <w:r>
        <w:rPr>
          <w:rFonts w:hint="eastAsia"/>
        </w:rPr>
        <w:t>个，组织招商小分队到意向投资的企业考察、邀请来广考察5次，洽谈亿元以上项目</w:t>
      </w:r>
      <w:r>
        <w:t>4</w:t>
      </w:r>
      <w:r>
        <w:rPr>
          <w:rFonts w:hint="eastAsia"/>
        </w:rPr>
        <w:t>个。</w:t>
      </w:r>
    </w:p>
    <w:p>
      <w:pPr>
        <w:spacing w:line="560" w:lineRule="exact"/>
        <w:ind w:firstLine="642" w:firstLineChars="200"/>
        <w:rPr>
          <w:color w:val="FF0000"/>
          <w:lang w:val="zh-CN"/>
        </w:rPr>
      </w:pPr>
      <w:r>
        <w:rPr>
          <w:rFonts w:hint="eastAsia" w:ascii="楷体_GB2312" w:eastAsia="楷体_GB2312"/>
          <w:b/>
          <w:szCs w:val="32"/>
          <w:lang w:val="zh-CN"/>
        </w:rPr>
        <w:t>（二）</w:t>
      </w:r>
      <w:r>
        <w:rPr>
          <w:rFonts w:ascii="楷体_GB2312" w:eastAsia="楷体_GB2312"/>
          <w:b/>
          <w:szCs w:val="32"/>
        </w:rPr>
        <w:t>效益</w:t>
      </w:r>
      <w:r>
        <w:rPr>
          <w:rFonts w:hint="eastAsia" w:ascii="楷体_GB2312" w:eastAsia="楷体_GB2312"/>
          <w:b/>
          <w:szCs w:val="32"/>
        </w:rPr>
        <w:t>指标</w:t>
      </w:r>
      <w:r>
        <w:rPr>
          <w:rFonts w:eastAsia="楷体_GB2312"/>
          <w:b/>
          <w:bCs/>
          <w:color w:val="000000"/>
          <w:kern w:val="0"/>
          <w:szCs w:val="32"/>
          <w:shd w:val="clear" w:color="auto" w:fill="FFFFFF"/>
          <w:lang w:val="zh-CN"/>
        </w:rPr>
        <w:t>绩效分析</w:t>
      </w:r>
    </w:p>
    <w:p>
      <w:pPr>
        <w:spacing w:line="560" w:lineRule="exact"/>
        <w:ind w:firstLine="640" w:firstLineChars="200"/>
        <w:rPr>
          <w:color w:val="000000"/>
          <w:lang w:val="zh-CN"/>
        </w:rPr>
      </w:pPr>
      <w:r>
        <w:rPr>
          <w:rFonts w:ascii="楷体_GB2312" w:eastAsia="楷体_GB2312" w:cs="楷体_GB2312"/>
        </w:rPr>
        <w:t>1.经济效益</w:t>
      </w:r>
      <w:r>
        <w:rPr>
          <w:rFonts w:hint="eastAsia" w:ascii="楷体_GB2312" w:eastAsia="楷体_GB2312" w:cs="楷体_GB2312"/>
        </w:rPr>
        <w:t>。</w:t>
      </w:r>
      <w:r>
        <w:rPr>
          <w:rFonts w:hint="eastAsia" w:cs="楷体_GB2312"/>
          <w:color w:val="000000"/>
        </w:rPr>
        <w:t>坚持精准招商，加大了招商引资的工作力度，加快了项目落地转化，引进了一批有实力、有潜力的项目；兑现了一批项目招商政策，取得了良好的宣传效应。</w:t>
      </w:r>
    </w:p>
    <w:p>
      <w:pPr>
        <w:spacing w:line="560" w:lineRule="exact"/>
        <w:ind w:firstLine="640" w:firstLineChars="200"/>
        <w:rPr>
          <w:rFonts w:cs="楷体_GB2312"/>
          <w:lang w:val="zh-CN"/>
        </w:rPr>
      </w:pPr>
      <w:r>
        <w:rPr>
          <w:rFonts w:ascii="楷体_GB2312" w:eastAsia="楷体_GB2312" w:cs="楷体_GB2312"/>
          <w:szCs w:val="32"/>
        </w:rPr>
        <w:t>2</w:t>
      </w:r>
      <w:r>
        <w:rPr>
          <w:rFonts w:hint="eastAsia" w:ascii="楷体_GB2312" w:eastAsia="楷体_GB2312" w:cs="楷体_GB2312"/>
          <w:szCs w:val="32"/>
        </w:rPr>
        <w:t>.</w:t>
      </w:r>
      <w:r>
        <w:rPr>
          <w:rFonts w:ascii="楷体_GB2312" w:eastAsia="楷体_GB2312" w:cs="楷体_GB2312"/>
          <w:szCs w:val="32"/>
        </w:rPr>
        <w:t>社会效益</w:t>
      </w:r>
      <w:r>
        <w:rPr>
          <w:rFonts w:hint="eastAsia" w:ascii="楷体_GB2312" w:eastAsia="楷体_GB2312" w:cs="楷体_GB2312"/>
          <w:szCs w:val="32"/>
        </w:rPr>
        <w:t>。</w:t>
      </w:r>
      <w:r>
        <w:rPr>
          <w:rFonts w:hint="eastAsia" w:cs="楷体_GB2312"/>
          <w:lang w:val="zh-CN"/>
        </w:rPr>
        <w:t>通过招商引资引进新项目，年内提供多个就业岗位。</w:t>
      </w:r>
    </w:p>
    <w:p>
      <w:pPr>
        <w:spacing w:line="560" w:lineRule="exact"/>
        <w:ind w:firstLine="640"/>
        <w:rPr>
          <w:rFonts w:eastAsia="楷体_GB2312"/>
          <w:b/>
          <w:bCs/>
          <w:color w:val="000000"/>
          <w:kern w:val="0"/>
          <w:shd w:val="clear" w:color="auto" w:fill="FFFFFF"/>
          <w:lang w:val="zh-CN"/>
        </w:rPr>
      </w:pPr>
      <w:r>
        <w:rPr>
          <w:rFonts w:hint="eastAsia" w:ascii="楷体_GB2312" w:eastAsia="楷体_GB2312"/>
          <w:b/>
          <w:szCs w:val="32"/>
          <w:lang w:val="zh-CN"/>
        </w:rPr>
        <w:t>（三）</w:t>
      </w:r>
      <w:r>
        <w:rPr>
          <w:rFonts w:ascii="楷体_GB2312" w:eastAsia="楷体_GB2312"/>
          <w:b/>
          <w:szCs w:val="32"/>
        </w:rPr>
        <w:t>满意度</w:t>
      </w:r>
      <w:r>
        <w:rPr>
          <w:rFonts w:hint="eastAsia" w:ascii="楷体_GB2312" w:eastAsia="楷体_GB2312"/>
          <w:b/>
          <w:szCs w:val="32"/>
        </w:rPr>
        <w:t>指标</w:t>
      </w:r>
      <w:r>
        <w:rPr>
          <w:rFonts w:eastAsia="楷体_GB2312"/>
          <w:b/>
          <w:bCs/>
          <w:color w:val="000000"/>
          <w:kern w:val="0"/>
          <w:szCs w:val="32"/>
          <w:shd w:val="clear" w:color="auto" w:fill="FFFFFF"/>
          <w:lang w:val="zh-CN"/>
        </w:rPr>
        <w:t>绩效分析</w:t>
      </w:r>
    </w:p>
    <w:p>
      <w:pPr>
        <w:spacing w:line="560" w:lineRule="exact"/>
        <w:ind w:firstLine="640"/>
      </w:pPr>
      <w:r>
        <w:rPr>
          <w:rFonts w:hint="eastAsia"/>
          <w:bCs/>
          <w:lang w:val="zh-CN"/>
        </w:rPr>
        <w:t>市属国有</w:t>
      </w:r>
      <w:r>
        <w:rPr>
          <w:rFonts w:hint="eastAsia"/>
          <w:lang w:val="zh-CN"/>
        </w:rPr>
        <w:t>企业满意度90%</w:t>
      </w:r>
      <w:r>
        <w:rPr>
          <w:rFonts w:hint="eastAsia"/>
          <w:szCs w:val="32"/>
          <w:lang w:val="zh-CN"/>
        </w:rPr>
        <w:t>。</w:t>
      </w:r>
    </w:p>
    <w:p>
      <w:pPr>
        <w:pStyle w:val="2"/>
        <w:spacing w:before="93" w:line="560" w:lineRule="exact"/>
        <w:ind w:firstLine="640" w:firstLineChars="200"/>
        <w:rPr>
          <w:rFonts w:ascii="黑体"/>
          <w:sz w:val="32"/>
          <w:szCs w:val="32"/>
        </w:rPr>
      </w:pPr>
      <w:r>
        <w:rPr>
          <w:rFonts w:hint="eastAsia" w:ascii="黑体" w:eastAsia="黑体"/>
          <w:sz w:val="32"/>
          <w:szCs w:val="32"/>
        </w:rPr>
        <w:t>四、评价结论</w:t>
      </w:r>
    </w:p>
    <w:p>
      <w:pPr>
        <w:pStyle w:val="2"/>
        <w:spacing w:before="93" w:line="560" w:lineRule="exact"/>
        <w:ind w:firstLine="640" w:firstLineChars="200"/>
        <w:rPr>
          <w:rFonts w:ascii="Times New Roman" w:cs="楷体_GB2312"/>
          <w:kern w:val="2"/>
          <w:sz w:val="32"/>
          <w:szCs w:val="32"/>
          <w:lang w:val="zh-CN"/>
        </w:rPr>
      </w:pPr>
      <w:r>
        <w:rPr>
          <w:rFonts w:hint="eastAsia" w:ascii="Times New Roman" w:cs="楷体_GB2312"/>
          <w:kern w:val="2"/>
          <w:sz w:val="32"/>
          <w:szCs w:val="32"/>
          <w:lang w:val="zh-CN"/>
        </w:rPr>
        <w:t>从自评情况来看，招商引资</w:t>
      </w:r>
      <w:r>
        <w:rPr>
          <w:rFonts w:ascii="Times New Roman" w:cs="楷体_GB2312"/>
          <w:kern w:val="2"/>
          <w:sz w:val="32"/>
          <w:szCs w:val="32"/>
          <w:lang w:val="zh-CN"/>
        </w:rPr>
        <w:t>工作经费</w:t>
      </w:r>
      <w:r>
        <w:rPr>
          <w:rFonts w:hint="eastAsia" w:ascii="Times New Roman" w:cs="楷体_GB2312"/>
          <w:kern w:val="2"/>
          <w:sz w:val="32"/>
          <w:szCs w:val="32"/>
          <w:lang w:val="zh-CN"/>
        </w:rPr>
        <w:t>支出绩效整体上完成了年初设定的绩效目标，保障了</w:t>
      </w:r>
      <w:r>
        <w:rPr>
          <w:rFonts w:ascii="Times New Roman" w:cs="楷体_GB2312"/>
          <w:kern w:val="2"/>
          <w:sz w:val="32"/>
          <w:szCs w:val="32"/>
          <w:lang w:val="zh-CN"/>
        </w:rPr>
        <w:t>招商引资工作</w:t>
      </w:r>
      <w:r>
        <w:rPr>
          <w:rFonts w:hint="eastAsia" w:ascii="Times New Roman" w:cs="楷体_GB2312"/>
          <w:kern w:val="2"/>
          <w:sz w:val="32"/>
          <w:szCs w:val="32"/>
          <w:lang w:val="zh-CN"/>
        </w:rPr>
        <w:t>的正常运转，财政预算资金得到充分使用。自</w:t>
      </w:r>
      <w:r>
        <w:rPr>
          <w:rFonts w:hint="eastAsia" w:ascii="Times New Roman" w:cs="楷体_GB2312"/>
          <w:color w:val="000000"/>
          <w:kern w:val="2"/>
          <w:sz w:val="32"/>
          <w:szCs w:val="32"/>
          <w:lang w:val="zh-CN"/>
        </w:rPr>
        <w:t>评</w:t>
      </w:r>
      <w:r>
        <w:rPr>
          <w:rFonts w:ascii="Times New Roman" w:cs="楷体_GB2312"/>
          <w:color w:val="000000"/>
          <w:kern w:val="2"/>
          <w:sz w:val="32"/>
          <w:szCs w:val="32"/>
          <w:lang w:val="zh-CN"/>
        </w:rPr>
        <w:t>99</w:t>
      </w:r>
      <w:r>
        <w:rPr>
          <w:rFonts w:hint="eastAsia" w:ascii="Times New Roman" w:cs="楷体_GB2312"/>
          <w:color w:val="000000"/>
          <w:kern w:val="2"/>
          <w:sz w:val="32"/>
          <w:szCs w:val="32"/>
          <w:lang w:val="zh-CN"/>
        </w:rPr>
        <w:t>分</w:t>
      </w:r>
      <w:r>
        <w:rPr>
          <w:rFonts w:hint="eastAsia" w:ascii="Times New Roman" w:cs="楷体_GB2312"/>
          <w:kern w:val="2"/>
          <w:sz w:val="32"/>
          <w:szCs w:val="32"/>
          <w:lang w:val="zh-CN"/>
        </w:rPr>
        <w:t>，优秀等级。</w:t>
      </w:r>
    </w:p>
    <w:p>
      <w:pPr>
        <w:pStyle w:val="2"/>
        <w:spacing w:before="93" w:line="560" w:lineRule="exact"/>
        <w:ind w:firstLine="640" w:firstLineChars="200"/>
        <w:rPr>
          <w:rFonts w:ascii="黑体" w:hAnsi="黑体" w:eastAsia="黑体"/>
          <w:sz w:val="32"/>
          <w:szCs w:val="32"/>
        </w:rPr>
      </w:pPr>
      <w:r>
        <w:rPr>
          <w:rFonts w:hint="eastAsia" w:ascii="黑体" w:hAnsi="黑体" w:eastAsia="黑体"/>
          <w:sz w:val="32"/>
          <w:szCs w:val="32"/>
        </w:rPr>
        <w:t>五、存在主要问题</w:t>
      </w:r>
    </w:p>
    <w:p>
      <w:pPr>
        <w:pStyle w:val="2"/>
        <w:spacing w:before="93" w:line="560" w:lineRule="exact"/>
        <w:ind w:firstLine="640" w:firstLineChars="200"/>
        <w:rPr>
          <w:rFonts w:ascii="黑体" w:cs="黑体"/>
          <w:color w:val="000000"/>
          <w:kern w:val="2"/>
          <w:sz w:val="32"/>
          <w:szCs w:val="32"/>
        </w:rPr>
      </w:pPr>
      <w:r>
        <w:rPr>
          <w:rFonts w:ascii="Times New Roman" w:cs="仿宋_GB2312"/>
          <w:color w:val="000000"/>
          <w:kern w:val="2"/>
          <w:sz w:val="32"/>
          <w:szCs w:val="32"/>
          <w:lang w:val="zh-CN"/>
        </w:rPr>
        <w:t>无</w:t>
      </w:r>
      <w:r>
        <w:rPr>
          <w:rFonts w:cs="仿宋_GB2312"/>
          <w:color w:val="000000"/>
          <w:sz w:val="32"/>
          <w:szCs w:val="32"/>
        </w:rPr>
        <w:t>。</w:t>
      </w:r>
    </w:p>
    <w:p>
      <w:pPr>
        <w:pStyle w:val="2"/>
        <w:spacing w:before="93" w:line="560" w:lineRule="exact"/>
        <w:ind w:firstLine="640" w:firstLineChars="200"/>
        <w:rPr>
          <w:rFonts w:ascii="黑体"/>
          <w:color w:val="000000"/>
          <w:sz w:val="32"/>
          <w:szCs w:val="32"/>
          <w:lang w:val="zh-CN"/>
        </w:rPr>
      </w:pPr>
      <w:r>
        <w:rPr>
          <w:rFonts w:hint="eastAsia" w:ascii="黑体" w:eastAsia="黑体"/>
          <w:color w:val="000000"/>
          <w:position w:val="3"/>
          <w:sz w:val="32"/>
          <w:szCs w:val="32"/>
          <w:lang w:val="zh-CN"/>
        </w:rPr>
        <w:t>六、改进建议</w:t>
      </w:r>
    </w:p>
    <w:p>
      <w:pPr>
        <w:tabs>
          <w:tab w:val="left" w:pos="1911"/>
        </w:tabs>
        <w:spacing w:line="560" w:lineRule="exact"/>
        <w:jc w:val="left"/>
        <w:rPr>
          <w:rFonts w:ascii="仿宋_GB2312" w:cs="仿宋_GB2312"/>
          <w:color w:val="000000"/>
          <w:kern w:val="0"/>
        </w:rPr>
      </w:pPr>
      <w:r>
        <w:rPr>
          <w:rFonts w:hint="eastAsia" w:ascii="仿宋_GB2312" w:cs="仿宋_GB2312"/>
          <w:color w:val="000000"/>
          <w:kern w:val="0"/>
          <w:szCs w:val="32"/>
          <w:shd w:val="clear" w:color="auto" w:fill="FFFFFF"/>
          <w:lang w:val="zh-CN"/>
        </w:rPr>
        <w:t xml:space="preserve"> </w:t>
      </w:r>
      <w:r>
        <w:rPr>
          <w:rFonts w:hint="eastAsia" w:ascii="仿宋_GB2312" w:cs="仿宋_GB2312"/>
          <w:color w:val="000000"/>
          <w:kern w:val="0"/>
          <w:szCs w:val="32"/>
        </w:rPr>
        <w:t xml:space="preserve">   </w:t>
      </w:r>
      <w:r>
        <w:rPr>
          <w:rFonts w:cs="仿宋_GB2312"/>
          <w:color w:val="000000"/>
          <w:lang w:val="zh-CN"/>
        </w:rPr>
        <w:t>无。</w:t>
      </w: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2"/>
        <w:spacing w:before="93" w:line="576" w:lineRule="exact"/>
        <w:rPr>
          <w:lang w:val="en"/>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r>
        <w:rPr>
          <w:rFonts w:hint="eastAsia" w:ascii="方正小标宋简体" w:hAnsi="方正小标宋_GBK" w:eastAsia="方正小标宋简体" w:cs="方正小标宋_GBK"/>
          <w:color w:val="000000" w:themeColor="text1"/>
          <w:kern w:val="2"/>
          <w:sz w:val="44"/>
          <w:szCs w:val="44"/>
          <w:lang w:val="en-US"/>
          <w14:textFill>
            <w14:solidFill>
              <w14:schemeClr w14:val="tx1"/>
            </w14:solidFill>
          </w14:textFill>
        </w:rPr>
        <w:t>关于2023年城区公园广场春节氛围营造项目剩余资金的绩效评价报告</w:t>
      </w:r>
    </w:p>
    <w:p>
      <w:pPr>
        <w:pStyle w:val="38"/>
        <w:spacing w:line="578" w:lineRule="exact"/>
        <w:ind w:firstLine="640"/>
        <w:jc w:val="center"/>
        <w:rPr>
          <w:rFonts w:ascii="宋体" w:hAnsi="宋体"/>
          <w:color w:val="auto"/>
          <w:kern w:val="2"/>
          <w:sz w:val="32"/>
          <w:szCs w:val="32"/>
        </w:rPr>
      </w:pPr>
    </w:p>
    <w:p>
      <w:pPr>
        <w:adjustRightInd w:val="0"/>
        <w:snapToGrid w:val="0"/>
        <w:spacing w:line="576" w:lineRule="exact"/>
        <w:ind w:firstLine="640" w:firstLineChars="200"/>
        <w:rPr>
          <w:rFonts w:ascii="黑体" w:hAnsi="宋体" w:eastAsia="黑体"/>
          <w:color w:val="000000" w:themeColor="text1"/>
          <w:lang w:val="zh-CN"/>
          <w14:textFill>
            <w14:solidFill>
              <w14:schemeClr w14:val="tx1"/>
            </w14:solidFill>
          </w14:textFill>
        </w:rPr>
      </w:pPr>
      <w:r>
        <w:rPr>
          <w:rFonts w:hint="eastAsia" w:ascii="黑体" w:hAnsi="宋体" w:eastAsia="黑体"/>
          <w:color w:val="000000" w:themeColor="text1"/>
          <w14:textFill>
            <w14:solidFill>
              <w14:schemeClr w14:val="tx1"/>
            </w14:solidFill>
          </w14:textFill>
        </w:rPr>
        <w:t>一、</w:t>
      </w:r>
      <w:r>
        <w:rPr>
          <w:rFonts w:hint="eastAsia" w:ascii="黑体" w:hAnsi="宋体" w:eastAsia="黑体"/>
          <w:color w:val="000000" w:themeColor="text1"/>
          <w:lang w:val="zh-CN"/>
          <w14:textFill>
            <w14:solidFill>
              <w14:schemeClr w14:val="tx1"/>
            </w14:solidFill>
          </w14:textFill>
        </w:rPr>
        <w:t>项目概况</w:t>
      </w:r>
    </w:p>
    <w:p>
      <w:pPr>
        <w:snapToGrid w:val="0"/>
        <w:spacing w:line="576" w:lineRule="exact"/>
        <w:ind w:firstLine="640" w:firstLineChars="200"/>
        <w:rPr>
          <w:rFonts w:ascii="仿宋_GB2312" w:hAnsi="仿宋_GB2312" w:cs="仿宋_GB2312"/>
          <w:color w:val="000000" w:themeColor="text1"/>
          <w14:textFill>
            <w14:solidFill>
              <w14:schemeClr w14:val="tx1"/>
            </w14:solidFill>
          </w14:textFill>
        </w:rPr>
      </w:pPr>
      <w:r>
        <w:rPr>
          <w:rFonts w:hint="eastAsia" w:ascii="楷体_GB2312" w:hAnsi="宋体" w:eastAsia="楷体_GB2312"/>
          <w:color w:val="000000" w:themeColor="text1"/>
          <w:szCs w:val="32"/>
          <w:lang w:val="zh-CN"/>
          <w14:textFill>
            <w14:solidFill>
              <w14:schemeClr w14:val="tx1"/>
            </w14:solidFill>
          </w14:textFill>
        </w:rPr>
        <w:t>（一）项目基本情况</w:t>
      </w:r>
    </w:p>
    <w:p>
      <w:pPr>
        <w:snapToGrid w:val="0"/>
        <w:spacing w:line="576" w:lineRule="exact"/>
        <w:ind w:firstLine="640" w:firstLineChars="200"/>
        <w:rPr>
          <w:rFonts w:ascii="仿宋_GB2312" w:hAnsi="仿宋_GB2312" w:cs="仿宋_GB2312"/>
          <w:kern w:val="0"/>
          <w:shd w:val="clear" w:color="auto" w:fill="FFFFFF"/>
        </w:rPr>
      </w:pPr>
      <w:r>
        <w:rPr>
          <w:rFonts w:hint="eastAsia" w:ascii="仿宋_GB2312" w:hAnsi="仿宋_GB2312" w:cs="仿宋_GB2312"/>
          <w:szCs w:val="32"/>
        </w:rPr>
        <w:t>根据中共广元市委宣传部《关于印发&lt;广元市2023年春节氛围营造工作方案&gt;的通知》精神，市文旅集团负责市城区进出口、主要街道、公园广场等重要节点的春节氛围营造工作，市文旅集团将通过花卉布景、灯光造型和主题景观设计等方式，以人民群众喜闻乐见的方式，展示全市经济社会发展成就，营造喜庆祥和的传统节日氛围。该项目由市文旅集团下属子公司</w:t>
      </w:r>
      <w:r>
        <w:rPr>
          <w:rFonts w:hint="eastAsia" w:ascii="仿宋_GB2312" w:hAnsi="仿宋_GB2312" w:cs="仿宋_GB2312"/>
          <w:kern w:val="0"/>
          <w:szCs w:val="32"/>
          <w:shd w:val="clear" w:color="auto" w:fill="FFFFFF"/>
        </w:rPr>
        <w:t>广元文旅城市管理服务有限公司负责具体实施。</w:t>
      </w:r>
    </w:p>
    <w:p>
      <w:pPr>
        <w:snapToGrid w:val="0"/>
        <w:spacing w:line="576" w:lineRule="exact"/>
        <w:ind w:firstLine="640" w:firstLineChars="200"/>
        <w:rPr>
          <w:rFonts w:ascii="楷体_GB2312" w:hAnsi="宋体" w:eastAsia="楷体_GB2312"/>
          <w:color w:val="000000" w:themeColor="text1"/>
          <w:lang w:val="zh-CN"/>
          <w14:textFill>
            <w14:solidFill>
              <w14:schemeClr w14:val="tx1"/>
            </w14:solidFill>
          </w14:textFill>
        </w:rPr>
      </w:pPr>
      <w:r>
        <w:rPr>
          <w:rFonts w:hint="eastAsia" w:ascii="楷体_GB2312" w:hAnsi="宋体" w:eastAsia="楷体_GB2312"/>
          <w:color w:val="000000" w:themeColor="text1"/>
          <w:szCs w:val="32"/>
          <w14:textFill>
            <w14:solidFill>
              <w14:schemeClr w14:val="tx1"/>
            </w14:solidFill>
          </w14:textFill>
        </w:rPr>
        <w:t>（二）</w:t>
      </w:r>
      <w:r>
        <w:rPr>
          <w:rFonts w:ascii="楷体_GB2312" w:hAnsi="宋体" w:eastAsia="楷体_GB2312"/>
          <w:color w:val="000000" w:themeColor="text1"/>
          <w:szCs w:val="32"/>
          <w14:textFill>
            <w14:solidFill>
              <w14:schemeClr w14:val="tx1"/>
            </w14:solidFill>
          </w14:textFill>
        </w:rPr>
        <w:t>实施目的及支持方向</w:t>
      </w:r>
    </w:p>
    <w:p>
      <w:pPr>
        <w:snapToGrid w:val="0"/>
        <w:spacing w:line="576" w:lineRule="exact"/>
        <w:ind w:firstLine="640" w:firstLineChars="200"/>
        <w:jc w:val="left"/>
        <w:rPr>
          <w:rFonts w:ascii="仿宋_GB2312" w:hAnsi="仿宋_GB2312" w:cs="仿宋_GB2312"/>
          <w:color w:val="000000" w:themeColor="text1"/>
          <w:kern w:val="0"/>
          <w:shd w:val="clear" w:color="auto" w:fill="FFFFFF"/>
          <w:lang w:val="zh-CN"/>
          <w14:textFill>
            <w14:solidFill>
              <w14:schemeClr w14:val="tx1"/>
            </w14:solidFill>
          </w14:textFill>
        </w:rPr>
      </w:pPr>
      <w:r>
        <w:rPr>
          <w:rFonts w:hint="eastAsia" w:ascii="仿宋_GB2312" w:hAnsi="仿宋_GB2312" w:cs="仿宋_GB2312"/>
          <w:color w:val="000000" w:themeColor="text1"/>
          <w:kern w:val="0"/>
          <w:szCs w:val="32"/>
          <w:shd w:val="clear" w:color="auto" w:fill="FFFFFF"/>
          <w14:textFill>
            <w14:solidFill>
              <w14:schemeClr w14:val="tx1"/>
            </w14:solidFill>
          </w14:textFill>
        </w:rPr>
        <w:t>1.</w:t>
      </w:r>
      <w:r>
        <w:rPr>
          <w:rFonts w:hint="eastAsia" w:ascii="仿宋_GB2312" w:hAnsi="仿宋_GB2312" w:cs="仿宋_GB2312"/>
          <w:color w:val="000000" w:themeColor="text1"/>
          <w:kern w:val="0"/>
          <w:szCs w:val="32"/>
          <w:shd w:val="clear" w:color="auto" w:fill="FFFFFF"/>
          <w:lang w:val="zh-CN"/>
          <w14:textFill>
            <w14:solidFill>
              <w14:schemeClr w14:val="tx1"/>
            </w14:solidFill>
          </w14:textFill>
        </w:rPr>
        <w:t>项目主要内容</w:t>
      </w:r>
    </w:p>
    <w:p>
      <w:pPr>
        <w:adjustRightInd w:val="0"/>
        <w:snapToGrid w:val="0"/>
        <w:spacing w:line="576" w:lineRule="exact"/>
        <w:ind w:firstLine="640" w:firstLineChars="200"/>
        <w:contextualSpacing/>
      </w:pPr>
      <w:r>
        <w:rPr>
          <w:rFonts w:hint="eastAsia" w:ascii="仿宋_GB2312" w:hAnsi="仿宋_GB2312" w:cs="仿宋_GB2312"/>
          <w:kern w:val="0"/>
          <w:szCs w:val="32"/>
          <w:shd w:val="clear" w:color="auto" w:fill="FFFFFF"/>
          <w:lang w:val="zh-CN"/>
        </w:rPr>
        <w:t>项目主要内容为</w:t>
      </w:r>
      <w:r>
        <w:rPr>
          <w:rFonts w:hint="eastAsia" w:ascii="仿宋_GB2312" w:hAnsi="仿宋_GB2312" w:cs="仿宋_GB2312"/>
          <w:kern w:val="0"/>
          <w:szCs w:val="32"/>
          <w:shd w:val="clear" w:color="auto" w:fill="FFFFFF"/>
        </w:rPr>
        <w:t>在</w:t>
      </w:r>
      <w:r>
        <w:rPr>
          <w:rFonts w:hint="eastAsia" w:ascii="仿宋_GB2312" w:hAnsi="仿宋_GB2312" w:cs="仿宋_GB2312"/>
          <w:szCs w:val="32"/>
        </w:rPr>
        <w:t>广元市利州区（市城区）进出口、主要街道、公园、广场等点位，提供春节氛围营造服务（包括设计、物料采购、制作、安装、维护等）</w:t>
      </w:r>
      <w:r>
        <w:rPr>
          <w:rFonts w:hint="eastAsia"/>
          <w:szCs w:val="32"/>
        </w:rPr>
        <w:t>。</w:t>
      </w:r>
    </w:p>
    <w:p>
      <w:pPr>
        <w:adjustRightInd w:val="0"/>
        <w:snapToGrid w:val="0"/>
        <w:spacing w:line="576" w:lineRule="exact"/>
        <w:ind w:firstLine="640" w:firstLineChars="200"/>
        <w:contextualSpacing/>
        <w:rPr>
          <w:rFonts w:ascii="仿宋_GB2312" w:hAnsi="仿宋_GB2312" w:cs="仿宋_GB2312"/>
          <w:color w:val="000000" w:themeColor="text1"/>
          <w:kern w:val="0"/>
          <w:shd w:val="clear" w:color="auto" w:fill="FFFFFF"/>
          <w:lang w:val="zh-CN"/>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2.</w:t>
      </w:r>
      <w:r>
        <w:rPr>
          <w:rFonts w:hint="eastAsia" w:ascii="仿宋_GB2312" w:hAnsi="仿宋_GB2312" w:cs="仿宋_GB2312"/>
          <w:color w:val="000000" w:themeColor="text1"/>
          <w:szCs w:val="32"/>
          <w:lang w:val="zh-CN"/>
          <w14:textFill>
            <w14:solidFill>
              <w14:schemeClr w14:val="tx1"/>
            </w14:solidFill>
          </w14:textFill>
        </w:rPr>
        <w:t>项目实施目的</w:t>
      </w:r>
    </w:p>
    <w:p>
      <w:pPr>
        <w:adjustRightInd w:val="0"/>
        <w:snapToGrid w:val="0"/>
        <w:spacing w:line="576" w:lineRule="exact"/>
        <w:ind w:firstLine="640" w:firstLineChars="200"/>
        <w:rPr>
          <w:rFonts w:ascii="仿宋_GB2312" w:hAnsi="仿宋_GB2312" w:cs="仿宋_GB2312"/>
        </w:rPr>
      </w:pPr>
      <w:r>
        <w:rPr>
          <w:rFonts w:hint="eastAsia" w:ascii="仿宋_GB2312" w:hAnsi="仿宋_GB2312" w:cs="仿宋_GB2312"/>
          <w:szCs w:val="32"/>
        </w:rPr>
        <w:t>弘扬中国传统文化，营造喜庆祥和文明的节日气氛，让广大群众在欢乐、温馨、文明、和谐的环境中欢度春节。</w:t>
      </w:r>
    </w:p>
    <w:p>
      <w:pPr>
        <w:snapToGrid w:val="0"/>
        <w:spacing w:line="576" w:lineRule="exact"/>
        <w:ind w:firstLine="640" w:firstLineChars="200"/>
        <w:jc w:val="left"/>
        <w:rPr>
          <w:rFonts w:ascii="仿宋_GB2312" w:hAnsi="仿宋_GB2312" w:cs="仿宋_GB2312"/>
        </w:rPr>
      </w:pPr>
      <w:r>
        <w:rPr>
          <w:rFonts w:hint="eastAsia" w:ascii="仿宋_GB2312" w:hAnsi="仿宋_GB2312" w:cs="仿宋_GB2312"/>
          <w:szCs w:val="32"/>
        </w:rPr>
        <w:t>3.支持方向</w:t>
      </w:r>
    </w:p>
    <w:p>
      <w:pPr>
        <w:adjustRightInd w:val="0"/>
        <w:snapToGrid w:val="0"/>
        <w:spacing w:line="576" w:lineRule="exact"/>
        <w:ind w:firstLine="640" w:firstLineChars="200"/>
        <w:rPr>
          <w:lang w:val="zh-CN"/>
        </w:rPr>
      </w:pPr>
      <w:r>
        <w:rPr>
          <w:rFonts w:hint="eastAsia" w:ascii="仿宋_GB2312" w:hAnsi="仿宋_GB2312" w:cs="仿宋_GB2312"/>
          <w:szCs w:val="32"/>
          <w:lang w:val="zh-CN"/>
        </w:rPr>
        <w:t>根据</w:t>
      </w:r>
      <w:r>
        <w:rPr>
          <w:rFonts w:hint="eastAsia" w:ascii="仿宋_GB2312" w:hAnsi="仿宋_GB2312" w:cs="仿宋_GB2312"/>
          <w:szCs w:val="32"/>
        </w:rPr>
        <w:t>根据中共广元市委宣传部《关于印发&lt;广元市 2023年春节氛围营造工作方案&gt;的通知》</w:t>
      </w:r>
      <w:r>
        <w:rPr>
          <w:rFonts w:hint="eastAsia" w:ascii="仿宋_GB2312" w:hAnsi="仿宋_GB2312" w:cs="仿宋_GB2312"/>
          <w:szCs w:val="32"/>
          <w:lang w:val="zh-CN"/>
        </w:rPr>
        <w:t>精神，市文旅集团负责城区公园广场 202</w:t>
      </w:r>
      <w:r>
        <w:rPr>
          <w:rFonts w:hint="eastAsia" w:ascii="仿宋_GB2312" w:hAnsi="仿宋_GB2312" w:cs="仿宋_GB2312"/>
          <w:szCs w:val="32"/>
        </w:rPr>
        <w:t>3</w:t>
      </w:r>
      <w:r>
        <w:rPr>
          <w:rFonts w:hint="eastAsia" w:ascii="仿宋_GB2312" w:hAnsi="仿宋_GB2312" w:cs="仿宋_GB2312"/>
          <w:szCs w:val="32"/>
          <w:lang w:val="zh-CN"/>
        </w:rPr>
        <w:t xml:space="preserve"> 年</w:t>
      </w:r>
      <w:r>
        <w:rPr>
          <w:rFonts w:hint="eastAsia"/>
          <w:szCs w:val="32"/>
          <w:lang w:val="zh-CN"/>
        </w:rPr>
        <w:t>春节氛围营造工作。市文旅集团交由下属子公司广元文旅城市管理服务有限公司实施。</w:t>
      </w:r>
    </w:p>
    <w:p>
      <w:pPr>
        <w:widowControl/>
        <w:adjustRightInd w:val="0"/>
        <w:snapToGrid w:val="0"/>
        <w:spacing w:line="578" w:lineRule="exact"/>
        <w:ind w:left="643"/>
        <w:contextualSpacing/>
        <w:jc w:val="left"/>
        <w:rPr>
          <w:rFonts w:ascii="仿宋_GB2312" w:hAnsi="仿宋_GB2312" w:cs="仿宋_GB2312"/>
          <w:bCs/>
          <w:kern w:val="0"/>
          <w:shd w:val="clear" w:color="auto" w:fill="FFFFFF"/>
          <w:lang w:val="zh-CN"/>
        </w:rPr>
      </w:pPr>
      <w:r>
        <w:rPr>
          <w:rFonts w:hint="eastAsia" w:ascii="楷体_GB2312" w:hAnsi="宋体" w:eastAsia="楷体_GB2312"/>
          <w:bCs/>
          <w:szCs w:val="32"/>
        </w:rPr>
        <w:t>（三）</w:t>
      </w:r>
      <w:r>
        <w:rPr>
          <w:rFonts w:ascii="楷体_GB2312" w:hAnsi="宋体" w:eastAsia="楷体_GB2312"/>
          <w:bCs/>
          <w:szCs w:val="32"/>
        </w:rPr>
        <w:t>预算安排及分配管理</w:t>
      </w:r>
      <w:r>
        <w:rPr>
          <w:rFonts w:hint="eastAsia" w:ascii="楷体_GB2312" w:hAnsi="宋体" w:eastAsia="楷体_GB2312"/>
          <w:bCs/>
          <w:szCs w:val="32"/>
          <w:lang w:val="zh-CN"/>
        </w:rPr>
        <w:t>。</w:t>
      </w:r>
    </w:p>
    <w:p>
      <w:pPr>
        <w:adjustRightInd w:val="0"/>
        <w:snapToGrid w:val="0"/>
        <w:spacing w:line="576" w:lineRule="exact"/>
        <w:ind w:firstLine="640" w:firstLineChars="200"/>
        <w:contextualSpacing/>
        <w:rPr>
          <w:rFonts w:ascii="仿宋_GB2312" w:hAnsi="仿宋_GB2312" w:cs="仿宋_GB2312"/>
        </w:rPr>
      </w:pPr>
      <w:r>
        <w:rPr>
          <w:rFonts w:hint="eastAsia" w:ascii="仿宋_GB2312" w:hAnsi="仿宋_GB2312" w:cs="仿宋_GB2312"/>
          <w:szCs w:val="32"/>
        </w:rPr>
        <w:t>2022年12月，市领导批示2023年春节氛围营造工作由市委宣传部负责统筹，市文旅集团具体负责实施，市财政给予200万元补助资金，纳入2023年市财政预算安排，不足部分由市文旅集团通过市场化运作方式解决。可预拨市文旅集团150万元资金并适当扩大其自主权以利市场化运作。</w:t>
      </w:r>
    </w:p>
    <w:p>
      <w:pPr>
        <w:adjustRightInd w:val="0"/>
        <w:snapToGrid w:val="0"/>
        <w:spacing w:line="576" w:lineRule="exact"/>
        <w:ind w:firstLine="640" w:firstLineChars="200"/>
        <w:contextualSpacing/>
        <w:rPr>
          <w:rFonts w:ascii="仿宋_GB2312" w:hAnsi="仿宋_GB2312" w:cs="仿宋_GB2312"/>
        </w:rPr>
      </w:pPr>
      <w:r>
        <w:rPr>
          <w:rFonts w:hint="eastAsia" w:ascii="仿宋_GB2312" w:hAnsi="仿宋_GB2312" w:cs="仿宋_GB2312"/>
          <w:szCs w:val="32"/>
        </w:rPr>
        <w:t>2022年12月30日，市</w:t>
      </w:r>
      <w:r>
        <w:rPr>
          <w:rFonts w:hint="eastAsia" w:ascii="仿宋_GB2312" w:hAnsi="仿宋_GB2312" w:cs="仿宋_GB2312"/>
          <w:szCs w:val="32"/>
          <w:lang w:val="zh-CN"/>
        </w:rPr>
        <w:t>财政局下达了《</w:t>
      </w:r>
      <w:r>
        <w:rPr>
          <w:rFonts w:hint="eastAsia" w:ascii="仿宋_GB2312" w:hAnsi="仿宋_GB2312" w:cs="仿宋_GB2312"/>
          <w:szCs w:val="32"/>
        </w:rPr>
        <w:t>广元市财政局</w:t>
      </w:r>
      <w:r>
        <w:rPr>
          <w:rFonts w:hint="eastAsia" w:ascii="仿宋_GB2312" w:hAnsi="仿宋_GB2312" w:cs="仿宋_GB2312"/>
          <w:szCs w:val="32"/>
          <w:lang w:val="zh-CN"/>
        </w:rPr>
        <w:t>关于下达基金</w:t>
      </w:r>
      <w:r>
        <w:rPr>
          <w:rFonts w:hint="eastAsia" w:ascii="仿宋_GB2312" w:hAnsi="仿宋_GB2312" w:cs="仿宋_GB2312"/>
          <w:szCs w:val="32"/>
        </w:rPr>
        <w:t>指标的通知</w:t>
      </w:r>
      <w:r>
        <w:rPr>
          <w:rFonts w:hint="eastAsia" w:ascii="仿宋_GB2312" w:hAnsi="仿宋_GB2312" w:cs="仿宋_GB2312"/>
          <w:szCs w:val="32"/>
          <w:lang w:val="zh-CN"/>
        </w:rPr>
        <w:t>》（广财投〔</w:t>
      </w:r>
      <w:r>
        <w:rPr>
          <w:rFonts w:hint="eastAsia" w:ascii="仿宋_GB2312" w:hAnsi="仿宋_GB2312" w:cs="仿宋_GB2312"/>
          <w:szCs w:val="32"/>
        </w:rPr>
        <w:t>2022</w:t>
      </w:r>
      <w:r>
        <w:rPr>
          <w:rFonts w:hint="eastAsia" w:ascii="仿宋_GB2312" w:hAnsi="仿宋_GB2312" w:cs="仿宋_GB2312"/>
          <w:szCs w:val="32"/>
          <w:lang w:val="zh-CN"/>
        </w:rPr>
        <w:t>〕</w:t>
      </w:r>
      <w:r>
        <w:rPr>
          <w:rFonts w:hint="eastAsia" w:ascii="仿宋_GB2312" w:hAnsi="仿宋_GB2312" w:cs="仿宋_GB2312"/>
          <w:szCs w:val="32"/>
        </w:rPr>
        <w:t>161号</w:t>
      </w:r>
      <w:r>
        <w:rPr>
          <w:rFonts w:hint="eastAsia" w:ascii="仿宋_GB2312" w:hAnsi="仿宋_GB2312" w:cs="仿宋_GB2312"/>
          <w:szCs w:val="32"/>
          <w:lang w:val="zh-CN"/>
        </w:rPr>
        <w:t>），安排202</w:t>
      </w:r>
      <w:r>
        <w:rPr>
          <w:rFonts w:hint="eastAsia" w:ascii="仿宋_GB2312" w:hAnsi="仿宋_GB2312" w:cs="仿宋_GB2312"/>
          <w:szCs w:val="32"/>
        </w:rPr>
        <w:t>3</w:t>
      </w:r>
      <w:r>
        <w:rPr>
          <w:rFonts w:hint="eastAsia" w:ascii="仿宋_GB2312" w:hAnsi="仿宋_GB2312" w:cs="仿宋_GB2312"/>
          <w:szCs w:val="32"/>
          <w:lang w:val="zh-CN"/>
        </w:rPr>
        <w:t>年城区公园广场春节氛围营造资金</w:t>
      </w:r>
      <w:r>
        <w:rPr>
          <w:rFonts w:hint="eastAsia" w:ascii="仿宋_GB2312" w:hAnsi="仿宋_GB2312" w:cs="仿宋_GB2312"/>
          <w:szCs w:val="32"/>
        </w:rPr>
        <w:t>150万元。2023年7月31日，市</w:t>
      </w:r>
      <w:r>
        <w:rPr>
          <w:rFonts w:hint="eastAsia" w:ascii="仿宋_GB2312" w:hAnsi="仿宋_GB2312" w:cs="仿宋_GB2312"/>
          <w:szCs w:val="32"/>
          <w:lang w:val="zh-CN"/>
        </w:rPr>
        <w:t>财政局下达了《</w:t>
      </w:r>
      <w:r>
        <w:rPr>
          <w:rFonts w:hint="eastAsia" w:ascii="仿宋_GB2312" w:hAnsi="仿宋_GB2312" w:cs="仿宋_GB2312"/>
          <w:szCs w:val="32"/>
        </w:rPr>
        <w:t>广元市财政局</w:t>
      </w:r>
      <w:r>
        <w:rPr>
          <w:rFonts w:hint="eastAsia" w:ascii="仿宋_GB2312" w:hAnsi="仿宋_GB2312" w:cs="仿宋_GB2312"/>
          <w:szCs w:val="32"/>
          <w:lang w:val="zh-CN"/>
        </w:rPr>
        <w:t>关于下达基金</w:t>
      </w:r>
      <w:r>
        <w:rPr>
          <w:rFonts w:hint="eastAsia" w:ascii="仿宋_GB2312" w:hAnsi="仿宋_GB2312" w:cs="仿宋_GB2312"/>
          <w:szCs w:val="32"/>
        </w:rPr>
        <w:t>指标的通知</w:t>
      </w:r>
      <w:r>
        <w:rPr>
          <w:rFonts w:hint="eastAsia" w:ascii="仿宋_GB2312" w:hAnsi="仿宋_GB2312" w:cs="仿宋_GB2312"/>
          <w:szCs w:val="32"/>
          <w:lang w:val="zh-CN"/>
        </w:rPr>
        <w:t>》（广财投〔</w:t>
      </w:r>
      <w:r>
        <w:rPr>
          <w:rFonts w:hint="eastAsia" w:ascii="仿宋_GB2312" w:hAnsi="仿宋_GB2312" w:cs="仿宋_GB2312"/>
          <w:szCs w:val="32"/>
        </w:rPr>
        <w:t>2023</w:t>
      </w:r>
      <w:r>
        <w:rPr>
          <w:rFonts w:hint="eastAsia" w:ascii="仿宋_GB2312" w:hAnsi="仿宋_GB2312" w:cs="仿宋_GB2312"/>
          <w:szCs w:val="32"/>
          <w:lang w:val="zh-CN"/>
        </w:rPr>
        <w:t>〕</w:t>
      </w:r>
      <w:r>
        <w:rPr>
          <w:rFonts w:hint="eastAsia" w:ascii="仿宋_GB2312" w:hAnsi="仿宋_GB2312" w:cs="仿宋_GB2312"/>
          <w:szCs w:val="32"/>
        </w:rPr>
        <w:t>66号</w:t>
      </w:r>
      <w:r>
        <w:rPr>
          <w:rFonts w:hint="eastAsia" w:ascii="仿宋_GB2312" w:hAnsi="仿宋_GB2312" w:cs="仿宋_GB2312"/>
          <w:szCs w:val="32"/>
          <w:lang w:val="zh-CN"/>
        </w:rPr>
        <w:t>），安排2023年城区春节氛围营造剩余补助资金50万元</w:t>
      </w:r>
      <w:r>
        <w:rPr>
          <w:rFonts w:hint="eastAsia" w:ascii="仿宋_GB2312" w:hAnsi="仿宋_GB2312" w:cs="仿宋_GB2312"/>
          <w:szCs w:val="32"/>
        </w:rPr>
        <w:t>。</w:t>
      </w:r>
    </w:p>
    <w:p>
      <w:pPr>
        <w:pStyle w:val="44"/>
        <w:spacing w:line="576" w:lineRule="exact"/>
        <w:ind w:firstLineChars="0"/>
        <w:rPr>
          <w:rFonts w:hAnsi="仿宋_GB2312" w:cs="仿宋_GB2312"/>
          <w:b w:val="0"/>
          <w:color w:val="auto"/>
          <w:kern w:val="0"/>
          <w:sz w:val="32"/>
          <w:szCs w:val="32"/>
          <w:shd w:val="clear" w:color="auto" w:fill="FFFFFF"/>
          <w:lang w:val="zh-CN"/>
        </w:rPr>
      </w:pPr>
      <w:r>
        <w:rPr>
          <w:rFonts w:hint="eastAsia" w:hAnsi="仿宋_GB2312" w:cs="仿宋_GB2312"/>
          <w:b w:val="0"/>
          <w:color w:val="auto"/>
          <w:kern w:val="0"/>
          <w:sz w:val="32"/>
          <w:szCs w:val="32"/>
          <w:shd w:val="clear" w:color="auto" w:fill="FFFFFF"/>
          <w:lang w:val="zh-CN"/>
        </w:rPr>
        <w:t>项目资金的分配始终坚持一个原则：全力保证</w:t>
      </w:r>
      <w:r>
        <w:rPr>
          <w:rFonts w:hint="eastAsia" w:hAnsi="仿宋_GB2312" w:cs="仿宋_GB2312"/>
          <w:b w:val="0"/>
          <w:color w:val="auto"/>
          <w:kern w:val="0"/>
          <w:sz w:val="32"/>
          <w:szCs w:val="32"/>
          <w:shd w:val="clear" w:color="auto" w:fill="FFFFFF"/>
        </w:rPr>
        <w:t>春节氛围营造</w:t>
      </w:r>
      <w:r>
        <w:rPr>
          <w:rFonts w:hint="eastAsia" w:hAnsi="仿宋_GB2312" w:cs="仿宋_GB2312"/>
          <w:b w:val="0"/>
          <w:color w:val="auto"/>
          <w:kern w:val="0"/>
          <w:sz w:val="32"/>
          <w:szCs w:val="32"/>
          <w:shd w:val="clear" w:color="auto" w:fill="FFFFFF"/>
          <w:lang w:val="zh-CN"/>
        </w:rPr>
        <w:t>顺利推进，确保资金公平合理地分配到项目建设的各个环节，提升项目质量和资金使用效益，实现资金落到实处，强化执行过程监督。</w:t>
      </w:r>
    </w:p>
    <w:p>
      <w:pPr>
        <w:adjustRightInd w:val="0"/>
        <w:snapToGrid w:val="0"/>
        <w:spacing w:line="578" w:lineRule="exact"/>
        <w:ind w:firstLine="640" w:firstLineChars="200"/>
        <w:rPr>
          <w:bCs/>
          <w:lang w:val="zh-CN"/>
        </w:rPr>
      </w:pPr>
      <w:r>
        <w:rPr>
          <w:rFonts w:hint="eastAsia" w:ascii="楷体_GB2312" w:hAnsi="宋体" w:eastAsia="楷体_GB2312"/>
          <w:bCs/>
          <w:szCs w:val="32"/>
          <w:lang w:val="zh-CN"/>
        </w:rPr>
        <w:t>（四）项目绩效目标设置。</w:t>
      </w:r>
    </w:p>
    <w:p>
      <w:pPr>
        <w:adjustRightInd w:val="0"/>
        <w:snapToGrid w:val="0"/>
        <w:spacing w:line="578" w:lineRule="exact"/>
        <w:ind w:firstLine="640" w:firstLineChars="200"/>
        <w:rPr>
          <w:rFonts w:ascii="仿宋_GB2312" w:hAnsi="仿宋_GB2312" w:cs="仿宋_GB2312"/>
        </w:rPr>
      </w:pPr>
      <w:r>
        <w:rPr>
          <w:rFonts w:hint="eastAsia" w:ascii="仿宋_GB2312" w:hAnsi="仿宋_GB2312" w:cs="仿宋_GB2312"/>
          <w:bCs/>
          <w:szCs w:val="32"/>
        </w:rPr>
        <w:t>1.</w:t>
      </w:r>
      <w:r>
        <w:rPr>
          <w:rFonts w:hint="eastAsia" w:ascii="仿宋_GB2312" w:hAnsi="仿宋_GB2312" w:cs="仿宋_GB2312"/>
          <w:bCs/>
          <w:szCs w:val="32"/>
          <w:lang w:val="zh-CN"/>
        </w:rPr>
        <w:t>绩效目标设置情况。</w:t>
      </w:r>
      <w:r>
        <w:rPr>
          <w:rFonts w:hint="eastAsia" w:ascii="仿宋_GB2312" w:hAnsi="仿宋_GB2312" w:cs="仿宋_GB2312"/>
          <w:szCs w:val="32"/>
        </w:rPr>
        <w:t>项目绩效目标设置量化可考核，与部门的长期规划目标、年度工作目标相一致，绩效指标可细化、量化，绩效目标和绩效指标契合政策和项目实质，产出和效果相关联，对满意度指标进行了量化预测，绩效目标具有一定前瞻性和挑战性，绩效目标和绩效指标匹配，绩效指标设计全面完整。</w:t>
      </w:r>
    </w:p>
    <w:p>
      <w:pPr>
        <w:adjustRightInd w:val="0"/>
        <w:snapToGrid w:val="0"/>
        <w:spacing w:line="578" w:lineRule="exact"/>
        <w:ind w:firstLine="640" w:firstLineChars="200"/>
        <w:rPr>
          <w:rFonts w:ascii="黑体" w:hAnsi="宋体" w:eastAsia="黑体"/>
        </w:rPr>
      </w:pPr>
      <w:r>
        <w:rPr>
          <w:rFonts w:hint="eastAsia" w:ascii="仿宋_GB2312" w:hAnsi="仿宋_GB2312" w:cs="仿宋_GB2312"/>
          <w:bCs/>
          <w:szCs w:val="32"/>
        </w:rPr>
        <w:t>2.</w:t>
      </w:r>
      <w:r>
        <w:rPr>
          <w:rFonts w:hint="eastAsia" w:ascii="仿宋_GB2312" w:hAnsi="仿宋_GB2312" w:cs="仿宋_GB2312"/>
          <w:bCs/>
          <w:szCs w:val="32"/>
          <w:lang w:val="zh-CN"/>
        </w:rPr>
        <w:t>项目自评工作开展情况。</w:t>
      </w:r>
      <w:r>
        <w:rPr>
          <w:rFonts w:hint="eastAsia" w:ascii="仿宋_GB2312" w:hAnsi="仿宋_GB2312" w:cs="仿宋_GB2312"/>
          <w:szCs w:val="32"/>
        </w:rPr>
        <w:t>单位</w:t>
      </w:r>
      <w:r>
        <w:rPr>
          <w:rFonts w:hint="eastAsia" w:ascii="仿宋_GB2312" w:hAnsi="仿宋_GB2312" w:cs="仿宋_GB2312"/>
          <w:szCs w:val="32"/>
          <w:lang w:val="en"/>
        </w:rPr>
        <w:t>根据项目合同书或验收要求，建立自评指标和标准；然后对照指标和标准，组织相关人员对项目实施的过程及提交的成果，按照各个指标和标准进行了自评。</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rPr>
          <w:rFonts w:ascii="楷体_GB2312" w:hAnsi="宋体" w:eastAsia="楷体_GB2312"/>
          <w:bCs/>
          <w:lang w:val="zh-CN"/>
        </w:rPr>
      </w:pPr>
      <w:r>
        <w:rPr>
          <w:rFonts w:hint="eastAsia" w:ascii="楷体_GB2312" w:hAnsi="宋体" w:eastAsia="楷体_GB2312"/>
          <w:bCs/>
          <w:szCs w:val="32"/>
          <w:lang w:val="zh-CN"/>
        </w:rPr>
        <w:t>（一）评价目的</w:t>
      </w:r>
    </w:p>
    <w:p>
      <w:pPr>
        <w:spacing w:line="578" w:lineRule="exact"/>
        <w:ind w:firstLine="640"/>
      </w:pPr>
      <w:r>
        <w:rPr>
          <w:szCs w:val="32"/>
        </w:rPr>
        <w:t>通过</w:t>
      </w:r>
      <w:r>
        <w:rPr>
          <w:rFonts w:hint="eastAsia"/>
          <w:szCs w:val="32"/>
        </w:rPr>
        <w:t>项目绩效自评来核查此项目是否达到预期目标，从而完善内部管理流程，强化预算支出的责任和效率。</w:t>
      </w:r>
    </w:p>
    <w:p>
      <w:pPr>
        <w:spacing w:line="578" w:lineRule="exact"/>
        <w:ind w:firstLine="640"/>
      </w:pPr>
      <w:r>
        <w:rPr>
          <w:rFonts w:hint="eastAsia" w:ascii="楷体_GB2312" w:hAnsi="宋体" w:eastAsia="楷体_GB2312"/>
          <w:bCs/>
          <w:szCs w:val="32"/>
          <w:lang w:val="zh-CN"/>
        </w:rPr>
        <w:t>（二）预设问题及评价重点。</w:t>
      </w:r>
      <w:r>
        <w:rPr>
          <w:rFonts w:hint="eastAsia"/>
          <w:szCs w:val="32"/>
          <w:lang w:val="zh-CN"/>
        </w:rPr>
        <w:t>根据项目实际情况，</w:t>
      </w:r>
      <w:r>
        <w:rPr>
          <w:rFonts w:hint="eastAsia"/>
          <w:szCs w:val="32"/>
        </w:rPr>
        <w:t>将指标评价体系中的项目管理作为评价重点；将资金使用拨付、项目实施是否符合规定作为预设问题。</w:t>
      </w:r>
    </w:p>
    <w:p>
      <w:pPr>
        <w:adjustRightInd w:val="0"/>
        <w:snapToGrid w:val="0"/>
        <w:spacing w:line="578" w:lineRule="exact"/>
        <w:ind w:firstLine="640" w:firstLineChars="200"/>
        <w:rPr>
          <w:bCs/>
          <w:lang w:val="zh-CN"/>
        </w:rPr>
      </w:pPr>
      <w:r>
        <w:rPr>
          <w:rFonts w:hint="eastAsia" w:ascii="楷体_GB2312" w:hAnsi="宋体" w:eastAsia="楷体_GB2312"/>
          <w:bCs/>
          <w:szCs w:val="32"/>
          <w:lang w:val="zh-CN"/>
        </w:rPr>
        <w:t>（三）评价选点。</w:t>
      </w:r>
      <w:r>
        <w:rPr>
          <w:rFonts w:hint="eastAsia" w:ascii="仿宋_GB2312" w:hAnsi="仿宋_GB2312" w:cs="仿宋_GB2312"/>
          <w:bCs/>
          <w:szCs w:val="32"/>
          <w:lang w:val="zh-CN"/>
        </w:rPr>
        <w:t>主要对资金使用情况进行抽查。</w:t>
      </w:r>
    </w:p>
    <w:p>
      <w:pPr>
        <w:spacing w:line="578" w:lineRule="exact"/>
        <w:ind w:firstLine="640"/>
        <w:rPr>
          <w:bCs/>
        </w:rPr>
      </w:pPr>
      <w:r>
        <w:rPr>
          <w:rFonts w:hint="eastAsia" w:ascii="楷体_GB2312" w:hAnsi="宋体" w:eastAsia="楷体_GB2312"/>
          <w:bCs/>
          <w:szCs w:val="32"/>
          <w:lang w:val="zh-CN"/>
        </w:rPr>
        <w:t>（四）评价方法。</w:t>
      </w:r>
      <w:r>
        <w:rPr>
          <w:rFonts w:hint="eastAsia"/>
          <w:bCs/>
          <w:szCs w:val="32"/>
          <w:lang w:val="zh-CN"/>
        </w:rPr>
        <w:t>采用</w:t>
      </w:r>
      <w:r>
        <w:rPr>
          <w:bCs/>
          <w:szCs w:val="32"/>
        </w:rPr>
        <w:t>单位自评法</w:t>
      </w:r>
      <w:r>
        <w:rPr>
          <w:rFonts w:hint="eastAsia"/>
          <w:bCs/>
          <w:szCs w:val="32"/>
        </w:rPr>
        <w:t>。</w:t>
      </w:r>
    </w:p>
    <w:p>
      <w:pPr>
        <w:spacing w:line="578" w:lineRule="exact"/>
        <w:ind w:firstLine="640"/>
        <w:rPr>
          <w:bCs/>
        </w:rPr>
      </w:pPr>
      <w:r>
        <w:rPr>
          <w:rFonts w:hint="eastAsia" w:ascii="楷体_GB2312" w:hAnsi="宋体" w:eastAsia="楷体_GB2312"/>
          <w:bCs/>
          <w:szCs w:val="32"/>
          <w:lang w:val="zh-CN"/>
        </w:rPr>
        <w:t>（五）评价组织。</w:t>
      </w:r>
      <w:r>
        <w:rPr>
          <w:rFonts w:hint="eastAsia" w:ascii="仿宋_GB2312" w:hAnsi="仿宋_GB2312" w:cs="仿宋_GB2312"/>
          <w:bCs/>
          <w:szCs w:val="32"/>
          <w:lang w:val="zh-CN"/>
        </w:rPr>
        <w:t>组建项目</w:t>
      </w:r>
      <w:r>
        <w:rPr>
          <w:rFonts w:hint="eastAsia" w:ascii="仿宋_GB2312" w:hAnsi="仿宋_GB2312" w:cs="仿宋_GB2312"/>
          <w:bCs/>
          <w:szCs w:val="32"/>
        </w:rPr>
        <w:t>评价小组，单位负责人为组长，负责自评全面工作；分管领导为副组长，负责安排实施各板块工作、相关部门</w:t>
      </w:r>
      <w:r>
        <w:rPr>
          <w:rFonts w:hint="eastAsia" w:ascii="仿宋_GB2312" w:hAnsi="仿宋_GB2312" w:cs="仿宋_GB2312"/>
          <w:szCs w:val="32"/>
        </w:rPr>
        <w:t>负责人为成员，负责评价具体工作。</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宋体" w:eastAsia="楷体_GB2312"/>
          <w:bCs/>
        </w:rPr>
      </w:pPr>
      <w:r>
        <w:rPr>
          <w:rFonts w:hint="eastAsia" w:ascii="楷体_GB2312" w:hAnsi="宋体" w:eastAsia="楷体_GB2312"/>
          <w:bCs/>
          <w:szCs w:val="32"/>
          <w:lang w:val="zh-CN"/>
        </w:rPr>
        <w:t>（一）</w:t>
      </w:r>
      <w:r>
        <w:rPr>
          <w:rFonts w:hint="eastAsia" w:ascii="楷体_GB2312" w:hAnsi="宋体" w:eastAsia="楷体_GB2312"/>
          <w:bCs/>
          <w:szCs w:val="32"/>
        </w:rPr>
        <w:t>通用指标</w:t>
      </w:r>
      <w:r>
        <w:rPr>
          <w:rFonts w:ascii="楷体_GB2312" w:hAnsi="宋体" w:eastAsia="楷体_GB2312"/>
          <w:bCs/>
          <w:szCs w:val="32"/>
          <w:lang w:val="zh-CN"/>
        </w:rPr>
        <w:t>绩效分析。</w:t>
      </w:r>
    </w:p>
    <w:p>
      <w:pPr>
        <w:spacing w:line="578" w:lineRule="exact"/>
        <w:ind w:firstLine="640"/>
        <w:rPr>
          <w:rFonts w:ascii="仿宋_GB2312" w:hAnsi="仿宋_GB2312" w:cs="仿宋_GB2312"/>
          <w:kern w:val="0"/>
          <w:shd w:val="clear" w:color="auto" w:fill="FFFFFF"/>
        </w:rPr>
      </w:pPr>
      <w:r>
        <w:rPr>
          <w:rFonts w:hint="eastAsia" w:ascii="仿宋_GB2312" w:hAnsi="仿宋_GB2312" w:cs="仿宋_GB2312"/>
          <w:kern w:val="0"/>
          <w:szCs w:val="32"/>
          <w:shd w:val="clear" w:color="auto" w:fill="FFFFFF"/>
        </w:rPr>
        <w:t>1.项目决策。项目设立、调整延续等方面符合资金管理基本规范和决策程序要求；项目规划符合党中央国务院、省委省政府、市委市政府有关决策部署安排，项目资金与项目总体规划、相关行业事业发展相匹配。绩效目标科学合理、规范完整、量化细化、与预算匹配。自评得分18分。</w:t>
      </w:r>
    </w:p>
    <w:p>
      <w:pPr>
        <w:spacing w:line="578" w:lineRule="exact"/>
        <w:ind w:firstLine="640"/>
      </w:pPr>
      <w:r>
        <w:rPr>
          <w:rFonts w:hint="eastAsia" w:ascii="仿宋_GB2312" w:hAnsi="仿宋_GB2312" w:cs="仿宋_GB2312"/>
          <w:kern w:val="0"/>
          <w:szCs w:val="32"/>
          <w:shd w:val="clear" w:color="auto" w:fill="FFFFFF"/>
        </w:rPr>
        <w:t>2.项目管理。严</w:t>
      </w:r>
      <w:r>
        <w:rPr>
          <w:rFonts w:hint="eastAsia" w:ascii="仿宋" w:hAnsi="仿宋" w:eastAsia="仿宋" w:cs="仿宋"/>
          <w:szCs w:val="32"/>
        </w:rPr>
        <w:t>格按照《广元市政府国有企业阳光采购监督管理暂行办法》，</w:t>
      </w:r>
      <w:r>
        <w:rPr>
          <w:rFonts w:hint="eastAsia" w:ascii="仿宋_GB2312" w:hAnsi="仿宋_GB2312" w:cs="仿宋_GB2312"/>
          <w:kern w:val="0"/>
          <w:szCs w:val="32"/>
          <w:shd w:val="clear" w:color="auto" w:fill="FFFFFF"/>
        </w:rPr>
        <w:t>参照广元市文化旅游投资集团有限公司《阳光采购管理暂行办法》及《文旅集团及子公司三会行权轨迹清单》，并结合《广元文旅城市管理服务有限公司规章制度》执行。</w:t>
      </w:r>
      <w:r>
        <w:rPr>
          <w:rFonts w:hint="eastAsia" w:ascii="仿宋_GB2312" w:hAnsi="仿宋_GB2312" w:cs="仿宋_GB2312"/>
          <w:szCs w:val="32"/>
        </w:rPr>
        <w:t>项目资金分配合理，项目管理、审批符合管理要求；项目绩效监管均按要求开展。自评得分18分。</w:t>
      </w:r>
    </w:p>
    <w:p>
      <w:pPr>
        <w:spacing w:line="578" w:lineRule="exact"/>
        <w:ind w:firstLine="640"/>
        <w:rPr>
          <w:rFonts w:ascii="仿宋_GB2312" w:hAnsi="仿宋_GB2312" w:cs="仿宋_GB2312"/>
          <w:kern w:val="0"/>
          <w:shd w:val="clear" w:color="auto" w:fill="FFFFFF"/>
        </w:rPr>
      </w:pPr>
      <w:r>
        <w:rPr>
          <w:rFonts w:hint="eastAsia" w:ascii="仿宋_GB2312" w:hAnsi="仿宋_GB2312" w:cs="仿宋_GB2312"/>
          <w:kern w:val="0"/>
          <w:szCs w:val="32"/>
          <w:shd w:val="clear" w:color="auto" w:fill="FFFFFF"/>
        </w:rPr>
        <w:t>3.项目实施</w:t>
      </w:r>
    </w:p>
    <w:p>
      <w:pPr>
        <w:adjustRightInd w:val="0"/>
        <w:snapToGrid w:val="0"/>
        <w:spacing w:line="576" w:lineRule="exact"/>
        <w:ind w:firstLine="642" w:firstLineChars="200"/>
        <w:rPr>
          <w:lang w:val="zh-CN"/>
        </w:rPr>
      </w:pPr>
      <w:r>
        <w:rPr>
          <w:rFonts w:hint="eastAsia" w:ascii="仿宋_GB2312" w:hAnsi="仿宋_GB2312" w:cs="仿宋_GB2312"/>
          <w:b/>
          <w:bCs/>
          <w:szCs w:val="32"/>
        </w:rPr>
        <w:t>一是</w:t>
      </w:r>
      <w:r>
        <w:rPr>
          <w:rFonts w:hint="eastAsia" w:ascii="仿宋_GB2312" w:hAnsi="仿宋_GB2312" w:cs="仿宋_GB2312"/>
          <w:szCs w:val="32"/>
        </w:rPr>
        <w:t>在老城、东坝、万缘、南河、雪峰、上西、下西7个片区、63个营造点位，共计安装满天星流星雨15000余串、流星雨60000余根，各式灯笼28000余个，藤球灯、麦穗灯、芦苇灯、星星月亮灯等其他灯具40000余个，彩旗2500余面，景观小品26组。扮靓了城市空间，呈现出花团锦簇、张灯结彩、姹紫嫣红的热闹过年氛围。</w:t>
      </w:r>
      <w:r>
        <w:rPr>
          <w:rFonts w:hint="eastAsia" w:ascii="仿宋_GB2312" w:hAnsi="仿宋_GB2312" w:cs="仿宋_GB2312"/>
          <w:b/>
          <w:bCs/>
          <w:szCs w:val="32"/>
        </w:rPr>
        <w:t>二是</w:t>
      </w:r>
      <w:r>
        <w:rPr>
          <w:rFonts w:hint="eastAsia" w:ascii="仿宋_GB2312" w:hAnsi="仿宋_GB2312" w:cs="仿宋_GB2312"/>
          <w:szCs w:val="32"/>
        </w:rPr>
        <w:t>对利州广场龙柱和文化艺术中心的巨型造型柱进行光亮工程改造，改造后广场12根龙柱柱身以龙、凤、祥云等造型呈现出“龙翔凤舞”的美丽光组景象，文化艺术中心的8根造型柱在LED投光灯的光束包裹下，显现出美轮美奂的现代艺术气息。</w:t>
      </w:r>
      <w:r>
        <w:rPr>
          <w:rFonts w:hint="eastAsia" w:ascii="仿宋_GB2312" w:hAnsi="仿宋_GB2312" w:cs="仿宋_GB2312"/>
          <w:b/>
          <w:bCs/>
          <w:szCs w:val="32"/>
        </w:rPr>
        <w:t>三是</w:t>
      </w:r>
      <w:r>
        <w:rPr>
          <w:rFonts w:hint="eastAsia" w:ascii="仿宋_GB2312" w:hAnsi="仿宋_GB2312" w:cs="仿宋_GB2312"/>
          <w:szCs w:val="32"/>
        </w:rPr>
        <w:t>通过微信、抖音等平台对氛围营造点位进行大力宣传，合计拍摄、制作和发送各节点春节氛围营造短视频数百条。自评得分9分。</w:t>
      </w:r>
    </w:p>
    <w:p>
      <w:pPr>
        <w:adjustRightInd w:val="0"/>
        <w:snapToGrid w:val="0"/>
        <w:spacing w:line="576" w:lineRule="exact"/>
        <w:ind w:firstLine="640" w:firstLineChars="200"/>
        <w:rPr>
          <w:rFonts w:ascii="仿宋_GB2312" w:hAnsi="仿宋_GB2312" w:cs="仿宋_GB2312"/>
        </w:rPr>
      </w:pPr>
      <w:r>
        <w:rPr>
          <w:rFonts w:hint="eastAsia" w:ascii="仿宋_GB2312" w:hAnsi="仿宋_GB2312" w:cs="仿宋_GB2312"/>
          <w:szCs w:val="32"/>
        </w:rPr>
        <w:t>4.项目结果。项目在计划时间内完成，且完成预期目标，实施结果与绩效目标相匹配。自评得分9分。</w:t>
      </w:r>
    </w:p>
    <w:p>
      <w:pPr>
        <w:spacing w:line="578" w:lineRule="exact"/>
        <w:ind w:firstLine="640" w:firstLineChars="200"/>
        <w:rPr>
          <w:rFonts w:ascii="楷体_GB2312" w:hAnsi="楷体_GB2312" w:eastAsia="楷体_GB2312" w:cs="楷体_GB2312"/>
          <w:bCs/>
          <w:lang w:val="zh-CN"/>
        </w:rPr>
      </w:pPr>
      <w:r>
        <w:rPr>
          <w:rFonts w:hint="eastAsia" w:ascii="楷体_GB2312" w:hAnsi="宋体" w:eastAsia="楷体_GB2312"/>
          <w:bCs/>
          <w:szCs w:val="32"/>
          <w:lang w:val="zh-CN"/>
        </w:rPr>
        <w:t>（二）</w:t>
      </w:r>
      <w:r>
        <w:rPr>
          <w:rFonts w:hint="eastAsia" w:ascii="楷体_GB2312" w:hAnsi="宋体" w:eastAsia="楷体_GB2312"/>
          <w:bCs/>
          <w:szCs w:val="32"/>
        </w:rPr>
        <w:t>专用指标</w:t>
      </w:r>
      <w:r>
        <w:rPr>
          <w:rFonts w:eastAsia="楷体_GB2312"/>
          <w:bCs/>
          <w:color w:val="000000"/>
          <w:kern w:val="0"/>
          <w:szCs w:val="32"/>
          <w:shd w:val="clear" w:color="auto" w:fill="FFFFFF"/>
          <w:lang w:val="zh-CN"/>
        </w:rPr>
        <w:t>绩效分析。</w:t>
      </w:r>
    </w:p>
    <w:p>
      <w:pPr>
        <w:adjustRightInd w:val="0"/>
        <w:snapToGrid w:val="0"/>
        <w:spacing w:line="576" w:lineRule="exact"/>
        <w:ind w:firstLine="640" w:firstLineChars="200"/>
        <w:rPr>
          <w:rFonts w:ascii="仿宋_GB2312" w:hAnsi="仿宋_GB2312" w:cs="仿宋_GB2312"/>
          <w:bCs/>
          <w:color w:val="000000" w:themeColor="text1"/>
          <w:szCs w:val="40"/>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民生保障方面,</w:t>
      </w:r>
      <w:r>
        <w:rPr>
          <w:rFonts w:hint="eastAsia" w:ascii="仿宋_GB2312" w:hAnsi="仿宋_GB2312" w:cs="仿宋_GB2312"/>
          <w:bCs/>
          <w:szCs w:val="32"/>
          <w:lang w:val="zh-CN"/>
        </w:rPr>
        <w:t>202</w:t>
      </w:r>
      <w:r>
        <w:rPr>
          <w:rFonts w:hint="eastAsia" w:ascii="仿宋_GB2312" w:hAnsi="仿宋_GB2312" w:cs="仿宋_GB2312"/>
          <w:bCs/>
          <w:szCs w:val="32"/>
        </w:rPr>
        <w:t>3</w:t>
      </w:r>
      <w:r>
        <w:rPr>
          <w:rFonts w:hint="eastAsia" w:ascii="仿宋_GB2312" w:hAnsi="仿宋_GB2312" w:cs="仿宋_GB2312"/>
          <w:bCs/>
          <w:szCs w:val="32"/>
          <w:lang w:val="zh-CN"/>
        </w:rPr>
        <w:t>年城区公园广场春节氛围营造</w:t>
      </w:r>
      <w:r>
        <w:rPr>
          <w:rFonts w:hint="eastAsia" w:ascii="仿宋_GB2312" w:hAnsi="仿宋_GB2312" w:cs="仿宋_GB2312"/>
          <w:bCs/>
          <w:szCs w:val="32"/>
        </w:rPr>
        <w:t>扮靓了城市空间，呈现出花团锦簇、张灯结彩、姹紫嫣红的热闹过年氛围，使城市夜间景观</w:t>
      </w:r>
      <w:r>
        <w:rPr>
          <w:rFonts w:hint="eastAsia" w:ascii="仿宋_GB2312" w:hAnsi="仿宋_GB2312" w:cs="仿宋_GB2312"/>
          <w:bCs/>
          <w:szCs w:val="32"/>
          <w:lang w:val="zh-CN"/>
        </w:rPr>
        <w:t>呈现近10年来最好光亮景观，</w:t>
      </w:r>
      <w:r>
        <w:rPr>
          <w:rFonts w:hint="eastAsia" w:ascii="仿宋_GB2312" w:hAnsi="仿宋_GB2312" w:cs="仿宋_GB2312"/>
          <w:bCs/>
          <w:szCs w:val="32"/>
        </w:rPr>
        <w:t>弘扬中华优秀传统文化，增强居民群众的获得感、幸福感、安全感，整体效果得到广大市民群众的高度认可。</w:t>
      </w:r>
      <w:r>
        <w:rPr>
          <w:rFonts w:hint="eastAsia" w:ascii="仿宋_GB2312" w:hAnsi="仿宋_GB2312" w:cs="仿宋_GB2312"/>
          <w:bCs/>
          <w:color w:val="000000" w:themeColor="text1"/>
          <w:szCs w:val="40"/>
          <w14:textFill>
            <w14:solidFill>
              <w14:schemeClr w14:val="tx1"/>
            </w14:solidFill>
          </w14:textFill>
        </w:rPr>
        <w:t>自评得分30分。</w:t>
      </w:r>
    </w:p>
    <w:p>
      <w:pPr>
        <w:spacing w:line="578" w:lineRule="exact"/>
        <w:ind w:firstLine="640"/>
      </w:pPr>
      <w:r>
        <w:rPr>
          <w:rFonts w:hint="eastAsia" w:ascii="楷体_GB2312" w:hAnsi="宋体" w:eastAsia="楷体_GB2312"/>
          <w:bCs/>
          <w:szCs w:val="32"/>
          <w:lang w:val="zh-CN"/>
        </w:rPr>
        <w:t>（三）</w:t>
      </w:r>
      <w:r>
        <w:rPr>
          <w:rFonts w:hint="eastAsia" w:ascii="楷体_GB2312" w:hAnsi="宋体" w:eastAsia="楷体_GB2312"/>
          <w:bCs/>
          <w:szCs w:val="32"/>
        </w:rPr>
        <w:t>个性指标</w:t>
      </w:r>
      <w:r>
        <w:rPr>
          <w:rFonts w:eastAsia="楷体_GB2312"/>
          <w:bCs/>
          <w:color w:val="000000"/>
          <w:kern w:val="0"/>
          <w:szCs w:val="32"/>
          <w:shd w:val="clear" w:color="auto" w:fill="FFFFFF"/>
          <w:lang w:val="zh-CN"/>
        </w:rPr>
        <w:t>绩效分析。</w:t>
      </w:r>
      <w:r>
        <w:rPr>
          <w:rFonts w:ascii="仿宋_GB2312" w:hAnsi="仿宋_GB2312" w:cs="仿宋_GB2312"/>
          <w:bCs/>
          <w:szCs w:val="32"/>
          <w:lang w:val="zh-CN"/>
        </w:rPr>
        <w:t>项目申报真实准确</w:t>
      </w:r>
      <w:r>
        <w:rPr>
          <w:rFonts w:hint="eastAsia" w:ascii="仿宋_GB2312" w:hAnsi="仿宋_GB2312" w:cs="仿宋_GB2312"/>
          <w:bCs/>
          <w:szCs w:val="32"/>
          <w:lang w:val="zh-CN"/>
        </w:rPr>
        <w:t>，项目资金支付使用情况合理合规。</w:t>
      </w:r>
      <w:r>
        <w:rPr>
          <w:rFonts w:hint="eastAsia" w:ascii="仿宋_GB2312" w:hAnsi="仿宋_GB2312" w:cs="仿宋_GB2312"/>
          <w:bCs/>
          <w:szCs w:val="32"/>
        </w:rPr>
        <w:t>自</w:t>
      </w:r>
      <w:r>
        <w:rPr>
          <w:rFonts w:hint="eastAsia" w:ascii="仿宋_GB2312" w:hAnsi="仿宋_GB2312" w:cs="仿宋_GB2312"/>
          <w:szCs w:val="32"/>
        </w:rPr>
        <w:t>评得分16分。</w:t>
      </w:r>
    </w:p>
    <w:p>
      <w:pPr>
        <w:pStyle w:val="2"/>
        <w:spacing w:before="93" w:line="600" w:lineRule="exact"/>
        <w:ind w:firstLine="640" w:firstLineChars="200"/>
        <w:rPr>
          <w:rFonts w:ascii="黑体" w:hAnsi="宋体"/>
          <w:sz w:val="32"/>
          <w:szCs w:val="32"/>
        </w:rPr>
      </w:pPr>
      <w:r>
        <w:rPr>
          <w:rFonts w:hint="eastAsia" w:ascii="黑体" w:hAnsi="宋体" w:eastAsia="黑体"/>
          <w:sz w:val="32"/>
          <w:szCs w:val="32"/>
        </w:rPr>
        <w:t>四、评价结论</w:t>
      </w:r>
    </w:p>
    <w:p>
      <w:pPr>
        <w:pStyle w:val="2"/>
        <w:spacing w:before="93" w:line="600" w:lineRule="exact"/>
        <w:ind w:firstLine="640" w:firstLineChars="200"/>
        <w:rPr>
          <w:rFonts w:hAnsi="仿宋_GB2312" w:cs="仿宋_GB2312"/>
          <w:b/>
          <w:bCs/>
          <w:sz w:val="32"/>
          <w:szCs w:val="32"/>
        </w:rPr>
      </w:pPr>
      <w:r>
        <w:rPr>
          <w:rFonts w:hint="eastAsia" w:hAnsi="仿宋_GB2312" w:cs="仿宋_GB2312"/>
          <w:sz w:val="32"/>
          <w:szCs w:val="32"/>
        </w:rPr>
        <w:t>2023年城区公园广场春节氛围营造项目打造了干净整洁的城市环境，增强了居民群众的获得感、幸福感、安全感，举办了有温度、有年味、有特色的文化活动，营造了欢乐祥和、喜庆热烈、文明进步的节日氛围。经评价小组认真、系统评价，项目实施较好，自评得分100分。</w:t>
      </w:r>
    </w:p>
    <w:p>
      <w:pPr>
        <w:pStyle w:val="2"/>
        <w:spacing w:before="93" w:line="600" w:lineRule="exact"/>
        <w:ind w:firstLine="640" w:firstLineChars="200"/>
        <w:rPr>
          <w:rFonts w:ascii="黑体" w:hAnsi="宋体"/>
          <w:sz w:val="32"/>
          <w:szCs w:val="32"/>
        </w:rPr>
      </w:pPr>
      <w:r>
        <w:rPr>
          <w:rFonts w:hint="eastAsia" w:ascii="黑体" w:hAnsi="黑体" w:eastAsia="黑体"/>
          <w:sz w:val="32"/>
          <w:szCs w:val="32"/>
        </w:rPr>
        <w:t>五、存在</w:t>
      </w:r>
      <w:r>
        <w:rPr>
          <w:rFonts w:hint="eastAsia" w:ascii="黑体" w:hAnsi="宋体" w:eastAsia="黑体"/>
          <w:sz w:val="32"/>
          <w:szCs w:val="32"/>
        </w:rPr>
        <w:t>主要问题</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专项预算项目绩效指标设置需加强。</w:t>
      </w:r>
    </w:p>
    <w:p>
      <w:pPr>
        <w:pStyle w:val="2"/>
        <w:spacing w:before="93" w:line="600" w:lineRule="exact"/>
        <w:ind w:firstLine="640" w:firstLineChars="200"/>
        <w:rPr>
          <w:rFonts w:ascii="黑体" w:hAnsi="宋体"/>
          <w:sz w:val="32"/>
          <w:szCs w:val="32"/>
          <w:lang w:val="zh-CN"/>
        </w:rPr>
      </w:pPr>
      <w:r>
        <w:rPr>
          <w:rFonts w:hint="eastAsia" w:ascii="黑体" w:hAnsi="宋体" w:eastAsia="黑体"/>
          <w:position w:val="3"/>
          <w:sz w:val="32"/>
          <w:szCs w:val="32"/>
          <w:lang w:val="zh-CN"/>
        </w:rPr>
        <w:t>六、改进建议</w:t>
      </w:r>
    </w:p>
    <w:p>
      <w:pPr>
        <w:pStyle w:val="2"/>
        <w:spacing w:before="93" w:line="576" w:lineRule="exact"/>
        <w:ind w:firstLine="645"/>
        <w:rPr>
          <w:rFonts w:hAnsi="仿宋_GB2312" w:cs="仿宋_GB2312"/>
          <w:sz w:val="32"/>
          <w:szCs w:val="32"/>
        </w:rPr>
      </w:pPr>
      <w:r>
        <w:rPr>
          <w:rFonts w:hint="eastAsia" w:hAnsi="仿宋_GB2312" w:cs="仿宋_GB2312"/>
          <w:sz w:val="32"/>
          <w:szCs w:val="32"/>
        </w:rPr>
        <w:t>加强对申报项目的培训学习，使项目编制更加符合绩效评价相关要求，牢固树立绩效管理理念，同时进一步提高绩效评价工作方式、方法。</w:t>
      </w: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2"/>
        <w:spacing w:before="93" w:line="576" w:lineRule="exact"/>
        <w:ind w:firstLine="645"/>
        <w:rPr>
          <w:rFonts w:hAnsi="仿宋_GB2312" w:cs="仿宋_GB2312"/>
          <w:sz w:val="32"/>
          <w:szCs w:val="32"/>
        </w:rPr>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r>
        <w:rPr>
          <w:rFonts w:hint="eastAsia" w:ascii="方正小标宋简体" w:hAnsi="方正小标宋_GBK" w:eastAsia="方正小标宋简体" w:cs="方正小标宋_GBK"/>
          <w:color w:val="000000" w:themeColor="text1"/>
          <w:kern w:val="2"/>
          <w:sz w:val="44"/>
          <w:szCs w:val="44"/>
          <w:lang w:val="en-US"/>
          <w14:textFill>
            <w14:solidFill>
              <w14:schemeClr w14:val="tx1"/>
            </w14:solidFill>
          </w14:textFill>
        </w:rPr>
        <w:t>关于</w:t>
      </w:r>
      <w:r>
        <w:rPr>
          <w:rFonts w:hint="eastAsia" w:ascii="方正小标宋简体" w:hAnsi="方正小标宋_GBK" w:eastAsia="方正小标宋简体" w:cs="方正小标宋_GBK"/>
          <w:color w:val="auto"/>
          <w:kern w:val="2"/>
          <w:sz w:val="44"/>
          <w:szCs w:val="44"/>
          <w:lang w:val="en-US"/>
        </w:rPr>
        <w:t>2021-2022年度南河湿地公园土地流转费</w:t>
      </w:r>
      <w:r>
        <w:rPr>
          <w:rFonts w:hint="eastAsia" w:ascii="方正小标宋简体" w:hAnsi="方正小标宋_GBK" w:eastAsia="方正小标宋简体" w:cs="方正小标宋_GBK"/>
          <w:color w:val="000000" w:themeColor="text1"/>
          <w:kern w:val="2"/>
          <w:sz w:val="44"/>
          <w:szCs w:val="44"/>
          <w:lang w:val="en-US"/>
          <w14:textFill>
            <w14:solidFill>
              <w14:schemeClr w14:val="tx1"/>
            </w14:solidFill>
          </w14:textFill>
        </w:rPr>
        <w:t>的绩效评价报告</w:t>
      </w:r>
    </w:p>
    <w:p>
      <w:pPr>
        <w:pStyle w:val="38"/>
        <w:spacing w:line="578" w:lineRule="exact"/>
        <w:ind w:firstLine="640"/>
        <w:jc w:val="center"/>
        <w:rPr>
          <w:rFonts w:ascii="宋体" w:hAnsi="宋体"/>
          <w:color w:val="auto"/>
          <w:kern w:val="2"/>
          <w:sz w:val="32"/>
          <w:szCs w:val="32"/>
        </w:rPr>
      </w:pPr>
    </w:p>
    <w:p>
      <w:pPr>
        <w:adjustRightInd w:val="0"/>
        <w:snapToGrid w:val="0"/>
        <w:spacing w:line="576" w:lineRule="exact"/>
        <w:ind w:firstLine="640" w:firstLineChars="200"/>
        <w:rPr>
          <w:rFonts w:ascii="黑体" w:hAnsi="宋体" w:eastAsia="黑体"/>
          <w:color w:val="000000" w:themeColor="text1"/>
          <w:lang w:val="zh-CN"/>
          <w14:textFill>
            <w14:solidFill>
              <w14:schemeClr w14:val="tx1"/>
            </w14:solidFill>
          </w14:textFill>
        </w:rPr>
      </w:pPr>
      <w:r>
        <w:rPr>
          <w:rFonts w:hint="eastAsia" w:ascii="黑体" w:hAnsi="宋体" w:eastAsia="黑体"/>
          <w:color w:val="000000" w:themeColor="text1"/>
          <w14:textFill>
            <w14:solidFill>
              <w14:schemeClr w14:val="tx1"/>
            </w14:solidFill>
          </w14:textFill>
        </w:rPr>
        <w:t>一、</w:t>
      </w:r>
      <w:r>
        <w:rPr>
          <w:rFonts w:hint="eastAsia" w:ascii="黑体" w:hAnsi="宋体" w:eastAsia="黑体"/>
          <w:color w:val="000000" w:themeColor="text1"/>
          <w:lang w:val="zh-CN"/>
          <w14:textFill>
            <w14:solidFill>
              <w14:schemeClr w14:val="tx1"/>
            </w14:solidFill>
          </w14:textFill>
        </w:rPr>
        <w:t>项目概况</w:t>
      </w:r>
    </w:p>
    <w:p>
      <w:pPr>
        <w:snapToGrid w:val="0"/>
        <w:spacing w:line="576" w:lineRule="exact"/>
        <w:ind w:firstLine="640" w:firstLineChars="200"/>
        <w:rPr>
          <w:rFonts w:ascii="仿宋_GB2312" w:hAnsi="仿宋_GB2312" w:cs="仿宋_GB2312"/>
          <w:color w:val="000000" w:themeColor="text1"/>
          <w14:textFill>
            <w14:solidFill>
              <w14:schemeClr w14:val="tx1"/>
            </w14:solidFill>
          </w14:textFill>
        </w:rPr>
      </w:pPr>
      <w:r>
        <w:rPr>
          <w:rFonts w:hint="eastAsia" w:ascii="楷体_GB2312" w:hAnsi="宋体" w:eastAsia="楷体_GB2312"/>
          <w:color w:val="000000" w:themeColor="text1"/>
          <w:szCs w:val="32"/>
          <w:lang w:val="zh-CN"/>
          <w14:textFill>
            <w14:solidFill>
              <w14:schemeClr w14:val="tx1"/>
            </w14:solidFill>
          </w14:textFill>
        </w:rPr>
        <w:t>（一）项目基本情况</w:t>
      </w:r>
    </w:p>
    <w:p>
      <w:pPr>
        <w:snapToGrid w:val="0"/>
        <w:spacing w:line="576" w:lineRule="exact"/>
        <w:ind w:firstLine="640" w:firstLineChars="200"/>
        <w:rPr>
          <w:rFonts w:ascii="仿宋_GB2312" w:hAnsi="宋体"/>
        </w:rPr>
      </w:pPr>
      <w:r>
        <w:rPr>
          <w:rFonts w:hint="eastAsia" w:ascii="仿宋_GB2312" w:hAnsi="宋体"/>
          <w:szCs w:val="32"/>
        </w:rPr>
        <w:t>2006年湿地公园建园之初，市凤凰山公园管理处作为建设方与万源村签订土地流转协议，南河湿地公园未征用的土地需流转至征用安置完为止。</w:t>
      </w:r>
      <w:r>
        <w:rPr>
          <w:rFonts w:hint="eastAsia" w:ascii="仿宋_GB2312" w:hAnsi="仿宋_GB2312" w:cs="仿宋_GB2312"/>
          <w:szCs w:val="32"/>
        </w:rPr>
        <w:t>按照七届市委常委会第197次会议审定的《关于市城区广场栖凤湖运行管理体制调整有关事宜的请示》（广府党组〔2020〕78号）要求，市文旅集团组建广元文旅城市管理服务有限公司，于2021年3月承接湿地公园管理运营工作。截至目前，</w:t>
      </w:r>
      <w:r>
        <w:rPr>
          <w:rFonts w:hint="eastAsia" w:ascii="仿宋_GB2312" w:hAnsi="宋体"/>
          <w:szCs w:val="32"/>
        </w:rPr>
        <w:t>南河湿地公园还有100.20亩未被征用，需支付2021—2022年土地流转费</w:t>
      </w:r>
      <w:r>
        <w:rPr>
          <w:rFonts w:hint="eastAsia" w:ascii="仿宋_GB2312" w:hAnsi="仿宋_GB2312" w:cs="仿宋_GB2312"/>
          <w:szCs w:val="32"/>
        </w:rPr>
        <w:t>47.147786万</w:t>
      </w:r>
      <w:r>
        <w:rPr>
          <w:rFonts w:hint="eastAsia" w:ascii="仿宋_GB2312" w:hAnsi="宋体"/>
          <w:szCs w:val="32"/>
        </w:rPr>
        <w:t>元。</w:t>
      </w:r>
    </w:p>
    <w:p>
      <w:pPr>
        <w:snapToGrid w:val="0"/>
        <w:spacing w:line="576" w:lineRule="exact"/>
        <w:ind w:firstLine="640" w:firstLineChars="200"/>
        <w:rPr>
          <w:rFonts w:ascii="楷体_GB2312" w:hAnsi="宋体" w:eastAsia="楷体_GB2312"/>
          <w:color w:val="000000" w:themeColor="text1"/>
          <w:lang w:val="zh-CN"/>
          <w14:textFill>
            <w14:solidFill>
              <w14:schemeClr w14:val="tx1"/>
            </w14:solidFill>
          </w14:textFill>
        </w:rPr>
      </w:pPr>
      <w:r>
        <w:rPr>
          <w:rFonts w:hint="eastAsia" w:ascii="楷体_GB2312" w:hAnsi="宋体" w:eastAsia="楷体_GB2312"/>
          <w:color w:val="000000" w:themeColor="text1"/>
          <w:szCs w:val="32"/>
          <w14:textFill>
            <w14:solidFill>
              <w14:schemeClr w14:val="tx1"/>
            </w14:solidFill>
          </w14:textFill>
        </w:rPr>
        <w:t>（二）</w:t>
      </w:r>
      <w:r>
        <w:rPr>
          <w:rFonts w:ascii="楷体_GB2312" w:hAnsi="宋体" w:eastAsia="楷体_GB2312"/>
          <w:color w:val="000000" w:themeColor="text1"/>
          <w:szCs w:val="32"/>
          <w14:textFill>
            <w14:solidFill>
              <w14:schemeClr w14:val="tx1"/>
            </w14:solidFill>
          </w14:textFill>
        </w:rPr>
        <w:t>实施目的及支持方向</w:t>
      </w:r>
    </w:p>
    <w:p>
      <w:pPr>
        <w:snapToGrid w:val="0"/>
        <w:spacing w:line="576" w:lineRule="exact"/>
        <w:ind w:firstLine="640" w:firstLineChars="200"/>
        <w:jc w:val="left"/>
        <w:rPr>
          <w:rFonts w:ascii="仿宋_GB2312" w:hAnsi="仿宋_GB2312" w:cs="仿宋_GB2312"/>
          <w:color w:val="000000" w:themeColor="text1"/>
          <w:kern w:val="0"/>
          <w:shd w:val="clear" w:color="auto" w:fill="FFFFFF"/>
          <w:lang w:val="zh-CN"/>
          <w14:textFill>
            <w14:solidFill>
              <w14:schemeClr w14:val="tx1"/>
            </w14:solidFill>
          </w14:textFill>
        </w:rPr>
      </w:pPr>
      <w:r>
        <w:rPr>
          <w:rFonts w:hint="eastAsia" w:ascii="仿宋_GB2312" w:hAnsi="仿宋_GB2312" w:cs="仿宋_GB2312"/>
          <w:color w:val="000000" w:themeColor="text1"/>
          <w:kern w:val="0"/>
          <w:szCs w:val="32"/>
          <w:shd w:val="clear" w:color="auto" w:fill="FFFFFF"/>
          <w14:textFill>
            <w14:solidFill>
              <w14:schemeClr w14:val="tx1"/>
            </w14:solidFill>
          </w14:textFill>
        </w:rPr>
        <w:t>1.</w:t>
      </w:r>
      <w:r>
        <w:rPr>
          <w:rFonts w:hint="eastAsia" w:ascii="仿宋_GB2312" w:hAnsi="仿宋_GB2312" w:cs="仿宋_GB2312"/>
          <w:color w:val="000000" w:themeColor="text1"/>
          <w:kern w:val="0"/>
          <w:szCs w:val="32"/>
          <w:shd w:val="clear" w:color="auto" w:fill="FFFFFF"/>
          <w:lang w:val="zh-CN"/>
          <w14:textFill>
            <w14:solidFill>
              <w14:schemeClr w14:val="tx1"/>
            </w14:solidFill>
          </w14:textFill>
        </w:rPr>
        <w:t>项目主要内容</w:t>
      </w:r>
    </w:p>
    <w:p>
      <w:pPr>
        <w:adjustRightInd w:val="0"/>
        <w:snapToGrid w:val="0"/>
        <w:spacing w:line="576" w:lineRule="exact"/>
        <w:ind w:firstLine="640" w:firstLineChars="200"/>
        <w:contextualSpacing/>
      </w:pPr>
      <w:r>
        <w:rPr>
          <w:rFonts w:hint="eastAsia" w:ascii="仿宋_GB2312" w:hAnsi="宋体"/>
          <w:szCs w:val="32"/>
        </w:rPr>
        <w:t>南河湿地公园还有100.20亩未被征用，需支付2021—2022年土地流转费</w:t>
      </w:r>
      <w:r>
        <w:rPr>
          <w:rFonts w:hint="eastAsia" w:ascii="仿宋_GB2312" w:hAnsi="仿宋_GB2312" w:cs="仿宋_GB2312"/>
          <w:szCs w:val="32"/>
        </w:rPr>
        <w:t>47.147786万</w:t>
      </w:r>
      <w:r>
        <w:rPr>
          <w:rFonts w:hint="eastAsia" w:ascii="仿宋_GB2312" w:hAnsi="宋体"/>
          <w:szCs w:val="32"/>
        </w:rPr>
        <w:t>元</w:t>
      </w:r>
      <w:r>
        <w:rPr>
          <w:rFonts w:hint="eastAsia"/>
          <w:szCs w:val="32"/>
        </w:rPr>
        <w:t>。</w:t>
      </w:r>
    </w:p>
    <w:p>
      <w:pPr>
        <w:adjustRightInd w:val="0"/>
        <w:snapToGrid w:val="0"/>
        <w:spacing w:line="576" w:lineRule="exact"/>
        <w:ind w:firstLine="640" w:firstLineChars="200"/>
        <w:contextualSpacing/>
        <w:rPr>
          <w:rFonts w:ascii="仿宋_GB2312" w:hAnsi="仿宋_GB2312" w:cs="仿宋_GB2312"/>
          <w:color w:val="000000" w:themeColor="text1"/>
          <w:kern w:val="0"/>
          <w:shd w:val="clear" w:color="auto" w:fill="FFFFFF"/>
          <w:lang w:val="zh-CN"/>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2.</w:t>
      </w:r>
      <w:r>
        <w:rPr>
          <w:rFonts w:hint="eastAsia" w:ascii="仿宋_GB2312" w:hAnsi="仿宋_GB2312" w:cs="仿宋_GB2312"/>
          <w:color w:val="000000" w:themeColor="text1"/>
          <w:szCs w:val="32"/>
          <w:lang w:val="zh-CN"/>
          <w14:textFill>
            <w14:solidFill>
              <w14:schemeClr w14:val="tx1"/>
            </w14:solidFill>
          </w14:textFill>
        </w:rPr>
        <w:t>项目实施目的</w:t>
      </w:r>
    </w:p>
    <w:p>
      <w:pPr>
        <w:adjustRightInd w:val="0"/>
        <w:snapToGrid w:val="0"/>
        <w:spacing w:line="576" w:lineRule="exact"/>
        <w:ind w:firstLine="640" w:firstLineChars="200"/>
        <w:rPr>
          <w:rFonts w:ascii="仿宋_GB2312" w:hAnsi="仿宋_GB2312" w:cs="仿宋_GB2312"/>
        </w:rPr>
      </w:pPr>
      <w:r>
        <w:rPr>
          <w:rFonts w:hint="eastAsia" w:ascii="仿宋_GB2312" w:hAnsi="仿宋_GB2312" w:cs="仿宋_GB2312"/>
          <w:szCs w:val="32"/>
        </w:rPr>
        <w:t>征地村民多次上访，稳定风险较高。</w:t>
      </w:r>
      <w:r>
        <w:rPr>
          <w:rFonts w:hint="eastAsia" w:ascii="仿宋_GB2312" w:hAnsi="宋体"/>
          <w:szCs w:val="32"/>
        </w:rPr>
        <w:t>支付土地流转费</w:t>
      </w:r>
      <w:r>
        <w:rPr>
          <w:rFonts w:hint="eastAsia" w:ascii="仿宋_GB2312" w:hAnsi="仿宋_GB2312" w:cs="仿宋_GB2312"/>
          <w:szCs w:val="32"/>
        </w:rPr>
        <w:t>主要目的是</w:t>
      </w:r>
      <w:r>
        <w:rPr>
          <w:rFonts w:hint="eastAsia" w:ascii="仿宋_GB2312" w:hAnsi="宋体"/>
          <w:szCs w:val="32"/>
        </w:rPr>
        <w:t>不影响失地农民正常生活，</w:t>
      </w:r>
      <w:r>
        <w:rPr>
          <w:rFonts w:hint="eastAsia" w:ascii="仿宋_GB2312" w:hAnsi="仿宋_GB2312" w:cs="仿宋_GB2312"/>
          <w:szCs w:val="32"/>
        </w:rPr>
        <w:t>确保信访形势稳定，进一步提升湿地公园生态质量，为市民提供一个安全、有序，生态、优美的休闲、娱乐、健身环境。</w:t>
      </w:r>
    </w:p>
    <w:p>
      <w:pPr>
        <w:snapToGrid w:val="0"/>
        <w:spacing w:line="576" w:lineRule="exact"/>
        <w:ind w:firstLine="640" w:firstLineChars="200"/>
        <w:jc w:val="left"/>
        <w:rPr>
          <w:rFonts w:ascii="仿宋_GB2312" w:hAnsi="仿宋_GB2312" w:cs="仿宋_GB2312"/>
        </w:rPr>
      </w:pPr>
      <w:r>
        <w:rPr>
          <w:rFonts w:hint="eastAsia" w:ascii="仿宋_GB2312" w:hAnsi="仿宋_GB2312" w:cs="仿宋_GB2312"/>
          <w:szCs w:val="32"/>
        </w:rPr>
        <w:t>3.支持方向</w:t>
      </w:r>
    </w:p>
    <w:p>
      <w:pPr>
        <w:adjustRightInd w:val="0"/>
        <w:snapToGrid w:val="0"/>
        <w:spacing w:line="576" w:lineRule="exact"/>
        <w:ind w:firstLine="640" w:firstLineChars="200"/>
        <w:rPr>
          <w:lang w:val="zh-CN"/>
        </w:rPr>
      </w:pPr>
      <w:r>
        <w:rPr>
          <w:rFonts w:hint="eastAsia" w:ascii="仿宋_GB2312" w:hAnsi="宋体"/>
          <w:szCs w:val="32"/>
        </w:rPr>
        <w:t>2006年湿地公园建园之初，市凤凰山公园管理处作为建设方与万源村签订土地流转协议，南河湿地公园未征用的土地需流转至征用安置完为止</w:t>
      </w:r>
      <w:r>
        <w:rPr>
          <w:rFonts w:hint="eastAsia"/>
          <w:szCs w:val="32"/>
          <w:lang w:val="zh-CN"/>
        </w:rPr>
        <w:t>。</w:t>
      </w:r>
      <w:r>
        <w:rPr>
          <w:rFonts w:hint="eastAsia" w:ascii="仿宋_GB2312" w:hAnsi="仿宋_GB2312" w:cs="仿宋_GB2312"/>
          <w:position w:val="-2"/>
          <w:szCs w:val="32"/>
        </w:rPr>
        <w:t>市国资委分别于2022年1月29日、2022年6月23日、2022年8月23日向市财政局提交《广元市政府国有资产监督管理委员会关于请求拨付南河湿地公园 2021 年度土地流转费用的函》（广国资委函〔2022〕 25 号）》《广元市政府国有资产监督管理委员会关于请求拨付南河湿地公园 2022 年度土地流转费用的函》（广国资委函〔2022〕104号）、《广元市政府国有资产监督管理委员会关于拨付南河湿地公园2021 年、2022年度土地流转费用的函》（广国资委函〔2022〕161号）。</w:t>
      </w:r>
    </w:p>
    <w:p>
      <w:pPr>
        <w:widowControl/>
        <w:adjustRightInd w:val="0"/>
        <w:snapToGrid w:val="0"/>
        <w:spacing w:line="578" w:lineRule="exact"/>
        <w:ind w:firstLine="640" w:firstLineChars="200"/>
        <w:contextualSpacing/>
        <w:jc w:val="left"/>
        <w:rPr>
          <w:rFonts w:ascii="仿宋_GB2312" w:hAnsi="仿宋_GB2312" w:cs="仿宋_GB2312"/>
          <w:bCs/>
          <w:kern w:val="0"/>
          <w:shd w:val="clear" w:color="auto" w:fill="FFFFFF"/>
          <w:lang w:val="zh-CN"/>
        </w:rPr>
      </w:pPr>
      <w:r>
        <w:rPr>
          <w:rFonts w:hint="eastAsia" w:ascii="楷体_GB2312" w:hAnsi="宋体" w:eastAsia="楷体_GB2312"/>
          <w:bCs/>
          <w:szCs w:val="32"/>
        </w:rPr>
        <w:t>（三）</w:t>
      </w:r>
      <w:r>
        <w:rPr>
          <w:rFonts w:ascii="楷体_GB2312" w:hAnsi="宋体" w:eastAsia="楷体_GB2312"/>
          <w:bCs/>
          <w:szCs w:val="32"/>
        </w:rPr>
        <w:t>预算安排及分配管理</w:t>
      </w:r>
      <w:r>
        <w:rPr>
          <w:rFonts w:hint="eastAsia" w:ascii="楷体_GB2312" w:hAnsi="宋体" w:eastAsia="楷体_GB2312"/>
          <w:bCs/>
          <w:szCs w:val="32"/>
          <w:lang w:val="zh-CN"/>
        </w:rPr>
        <w:t>。</w:t>
      </w:r>
    </w:p>
    <w:p>
      <w:pPr>
        <w:adjustRightInd w:val="0"/>
        <w:snapToGrid w:val="0"/>
        <w:spacing w:line="576" w:lineRule="exact"/>
        <w:ind w:firstLine="640" w:firstLineChars="200"/>
        <w:rPr>
          <w:rFonts w:ascii="仿宋_GB2312" w:hAnsi="仿宋_GB2312" w:cs="仿宋_GB2312"/>
        </w:rPr>
      </w:pPr>
      <w:r>
        <w:rPr>
          <w:rFonts w:hint="eastAsia" w:ascii="仿宋_GB2312" w:hAnsi="仿宋_GB2312" w:cs="仿宋_GB2312"/>
          <w:position w:val="-2"/>
          <w:szCs w:val="32"/>
        </w:rPr>
        <w:t>2022年12月29日，市财政</w:t>
      </w:r>
      <w:r>
        <w:rPr>
          <w:rFonts w:hint="eastAsia" w:ascii="仿宋_GB2312" w:hAnsi="仿宋_GB2312" w:cs="仿宋_GB2312"/>
          <w:position w:val="-2"/>
          <w:szCs w:val="32"/>
          <w:lang w:val="zh-CN"/>
        </w:rPr>
        <w:t>局下达《关于下达基金</w:t>
      </w:r>
      <w:r>
        <w:rPr>
          <w:rFonts w:hint="eastAsia" w:ascii="仿宋_GB2312" w:hAnsi="仿宋_GB2312" w:cs="仿宋_GB2312"/>
          <w:position w:val="-2"/>
          <w:szCs w:val="32"/>
        </w:rPr>
        <w:t>指标的通知</w:t>
      </w:r>
      <w:r>
        <w:rPr>
          <w:rFonts w:hint="eastAsia" w:ascii="仿宋_GB2312" w:hAnsi="仿宋_GB2312" w:cs="仿宋_GB2312"/>
          <w:position w:val="-2"/>
          <w:szCs w:val="32"/>
          <w:lang w:val="zh-CN"/>
        </w:rPr>
        <w:t>》（广财投〔</w:t>
      </w:r>
      <w:r>
        <w:rPr>
          <w:rFonts w:hint="eastAsia" w:ascii="仿宋_GB2312" w:hAnsi="仿宋_GB2312" w:cs="仿宋_GB2312"/>
          <w:position w:val="-2"/>
          <w:szCs w:val="32"/>
        </w:rPr>
        <w:t>2022</w:t>
      </w:r>
      <w:r>
        <w:rPr>
          <w:rFonts w:hint="eastAsia" w:ascii="仿宋_GB2312" w:hAnsi="仿宋_GB2312" w:cs="仿宋_GB2312"/>
          <w:position w:val="-2"/>
          <w:szCs w:val="32"/>
          <w:lang w:val="zh-CN"/>
        </w:rPr>
        <w:t>〕</w:t>
      </w:r>
      <w:r>
        <w:rPr>
          <w:rFonts w:hint="eastAsia" w:ascii="仿宋_GB2312" w:hAnsi="仿宋_GB2312" w:cs="仿宋_GB2312"/>
          <w:position w:val="-2"/>
          <w:szCs w:val="32"/>
        </w:rPr>
        <w:t>167号</w:t>
      </w:r>
      <w:r>
        <w:rPr>
          <w:rFonts w:hint="eastAsia" w:ascii="仿宋_GB2312" w:hAnsi="仿宋_GB2312" w:cs="仿宋_GB2312"/>
          <w:position w:val="-2"/>
          <w:szCs w:val="32"/>
          <w:lang w:val="zh-CN"/>
        </w:rPr>
        <w:t>），安排</w:t>
      </w:r>
      <w:r>
        <w:rPr>
          <w:rFonts w:hint="eastAsia" w:ascii="仿宋_GB2312" w:hAnsi="宋体"/>
          <w:szCs w:val="32"/>
        </w:rPr>
        <w:t>2021—2022年土地流转费</w:t>
      </w:r>
      <w:r>
        <w:rPr>
          <w:rFonts w:hint="eastAsia" w:ascii="仿宋_GB2312" w:hAnsi="仿宋_GB2312" w:cs="仿宋_GB2312"/>
          <w:szCs w:val="32"/>
        </w:rPr>
        <w:t>47.147786万</w:t>
      </w:r>
      <w:r>
        <w:rPr>
          <w:rFonts w:hint="eastAsia" w:ascii="仿宋_GB2312" w:hAnsi="宋体"/>
          <w:szCs w:val="32"/>
        </w:rPr>
        <w:t>元</w:t>
      </w:r>
      <w:r>
        <w:rPr>
          <w:rFonts w:hint="eastAsia" w:ascii="仿宋_GB2312" w:hAnsi="仿宋_GB2312" w:cs="仿宋_GB2312"/>
          <w:szCs w:val="32"/>
        </w:rPr>
        <w:t>。</w:t>
      </w:r>
      <w:r>
        <w:rPr>
          <w:rFonts w:hint="eastAsia" w:ascii="仿宋_GB2312" w:hAnsi="仿宋_GB2312" w:cs="仿宋_GB2312"/>
          <w:position w:val="-2"/>
          <w:szCs w:val="32"/>
        </w:rPr>
        <w:t>2023</w:t>
      </w:r>
      <w:r>
        <w:rPr>
          <w:rFonts w:hint="eastAsia" w:ascii="仿宋_GB2312" w:hAnsi="仿宋_GB2312" w:cs="仿宋_GB2312"/>
          <w:position w:val="-2"/>
          <w:szCs w:val="32"/>
          <w:lang w:val="zh-CN"/>
        </w:rPr>
        <w:t>年</w:t>
      </w:r>
      <w:r>
        <w:rPr>
          <w:rFonts w:hint="eastAsia" w:ascii="仿宋_GB2312" w:hAnsi="仿宋_GB2312" w:cs="仿宋_GB2312"/>
          <w:position w:val="-2"/>
          <w:szCs w:val="32"/>
        </w:rPr>
        <w:t>1</w:t>
      </w:r>
      <w:r>
        <w:rPr>
          <w:rFonts w:hint="eastAsia" w:ascii="仿宋_GB2312" w:hAnsi="仿宋_GB2312" w:cs="仿宋_GB2312"/>
          <w:position w:val="-2"/>
          <w:szCs w:val="32"/>
          <w:lang w:val="zh-CN"/>
        </w:rPr>
        <w:t>月</w:t>
      </w:r>
      <w:r>
        <w:rPr>
          <w:rFonts w:hint="eastAsia" w:ascii="仿宋_GB2312" w:hAnsi="仿宋_GB2312" w:cs="仿宋_GB2312"/>
          <w:position w:val="-2"/>
          <w:szCs w:val="32"/>
        </w:rPr>
        <w:t>19日</w:t>
      </w:r>
      <w:r>
        <w:rPr>
          <w:rFonts w:hint="eastAsia" w:ascii="仿宋_GB2312" w:hAnsi="仿宋_GB2312" w:cs="仿宋_GB2312"/>
          <w:position w:val="-2"/>
          <w:szCs w:val="32"/>
          <w:lang w:val="zh-CN"/>
        </w:rPr>
        <w:t>财政拨付</w:t>
      </w:r>
      <w:r>
        <w:rPr>
          <w:rFonts w:hint="eastAsia" w:ascii="仿宋_GB2312" w:hAnsi="宋体"/>
          <w:szCs w:val="32"/>
        </w:rPr>
        <w:t>2021—2022年土地流转费</w:t>
      </w:r>
      <w:r>
        <w:rPr>
          <w:rFonts w:hint="eastAsia" w:ascii="仿宋_GB2312" w:hAnsi="仿宋_GB2312" w:cs="仿宋_GB2312"/>
          <w:szCs w:val="32"/>
        </w:rPr>
        <w:t>47.147786万</w:t>
      </w:r>
      <w:r>
        <w:rPr>
          <w:rFonts w:hint="eastAsia" w:ascii="仿宋_GB2312" w:hAnsi="宋体"/>
          <w:szCs w:val="32"/>
        </w:rPr>
        <w:t>元。我公司分别于2022年1月29日、1月30日、2023年1月18日垫</w:t>
      </w:r>
      <w:r>
        <w:rPr>
          <w:rFonts w:hint="eastAsia" w:ascii="仿宋_GB2312" w:hAnsi="仿宋_GB2312" w:cs="仿宋_GB2312"/>
          <w:position w:val="-2"/>
          <w:szCs w:val="32"/>
        </w:rPr>
        <w:t>支2021年</w:t>
      </w:r>
      <w:r>
        <w:rPr>
          <w:rFonts w:hint="eastAsia" w:ascii="仿宋_GB2312" w:hAnsi="仿宋_GB2312" w:cs="仿宋_GB2312"/>
          <w:szCs w:val="32"/>
        </w:rPr>
        <w:t>—</w:t>
      </w:r>
      <w:r>
        <w:rPr>
          <w:rFonts w:hint="eastAsia" w:ascii="仿宋_GB2312" w:hAnsi="仿宋_GB2312" w:cs="仿宋_GB2312"/>
          <w:position w:val="-2"/>
          <w:szCs w:val="32"/>
        </w:rPr>
        <w:t>2022年广元市利州区万缘街道办事处老街社区第一、第二、第三居民小组土地流转费共计</w:t>
      </w:r>
      <w:r>
        <w:rPr>
          <w:rFonts w:hint="eastAsia" w:ascii="仿宋_GB2312" w:hAnsi="仿宋_GB2312" w:cs="仿宋_GB2312"/>
          <w:szCs w:val="32"/>
        </w:rPr>
        <w:t>47.147786万</w:t>
      </w:r>
      <w:r>
        <w:rPr>
          <w:rFonts w:hint="eastAsia" w:ascii="仿宋_GB2312" w:hAnsi="宋体"/>
          <w:szCs w:val="32"/>
        </w:rPr>
        <w:t>元</w:t>
      </w:r>
      <w:r>
        <w:rPr>
          <w:rFonts w:hint="eastAsia" w:ascii="仿宋_GB2312" w:hAnsi="仿宋_GB2312" w:cs="仿宋_GB2312"/>
          <w:position w:val="-2"/>
          <w:szCs w:val="32"/>
        </w:rPr>
        <w:t>。</w:t>
      </w:r>
    </w:p>
    <w:p>
      <w:pPr>
        <w:pStyle w:val="44"/>
        <w:spacing w:line="576" w:lineRule="exact"/>
        <w:ind w:firstLineChars="0"/>
        <w:rPr>
          <w:rFonts w:hAnsi="仿宋_GB2312" w:cs="仿宋_GB2312"/>
          <w:b w:val="0"/>
          <w:color w:val="auto"/>
          <w:kern w:val="0"/>
          <w:sz w:val="32"/>
          <w:szCs w:val="32"/>
          <w:shd w:val="clear" w:color="auto" w:fill="FFFFFF"/>
          <w:lang w:val="zh-CN"/>
        </w:rPr>
      </w:pPr>
      <w:r>
        <w:rPr>
          <w:rFonts w:hint="eastAsia" w:hAnsi="仿宋_GB2312" w:cs="仿宋_GB2312"/>
          <w:b w:val="0"/>
          <w:color w:val="auto"/>
          <w:kern w:val="0"/>
          <w:sz w:val="32"/>
          <w:szCs w:val="32"/>
          <w:shd w:val="clear" w:color="auto" w:fill="FFFFFF"/>
          <w:lang w:val="zh-CN"/>
        </w:rPr>
        <w:t>项目资金的分配始终坚持一个原则：全力保证</w:t>
      </w:r>
      <w:r>
        <w:rPr>
          <w:rFonts w:hint="eastAsia" w:hAnsi="仿宋_GB2312" w:cs="仿宋_GB2312"/>
          <w:b w:val="0"/>
          <w:color w:val="auto"/>
          <w:kern w:val="0"/>
          <w:sz w:val="32"/>
          <w:szCs w:val="32"/>
          <w:shd w:val="clear" w:color="auto" w:fill="FFFFFF"/>
        </w:rPr>
        <w:t>南河湿地公园土地流转</w:t>
      </w:r>
      <w:r>
        <w:rPr>
          <w:rFonts w:hint="eastAsia" w:hAnsi="仿宋_GB2312" w:cs="仿宋_GB2312"/>
          <w:b w:val="0"/>
          <w:color w:val="auto"/>
          <w:kern w:val="0"/>
          <w:sz w:val="32"/>
          <w:szCs w:val="32"/>
          <w:shd w:val="clear" w:color="auto" w:fill="FFFFFF"/>
          <w:lang w:val="zh-CN"/>
        </w:rPr>
        <w:t>顺利推进，确保资金公平合理地分配到各个</w:t>
      </w:r>
      <w:r>
        <w:rPr>
          <w:rFonts w:hint="eastAsia" w:hAnsi="仿宋_GB2312" w:cs="仿宋_GB2312"/>
          <w:b w:val="0"/>
          <w:color w:val="auto"/>
          <w:kern w:val="0"/>
          <w:sz w:val="32"/>
          <w:szCs w:val="32"/>
          <w:shd w:val="clear" w:color="auto" w:fill="FFFFFF"/>
        </w:rPr>
        <w:t>居民小组</w:t>
      </w:r>
      <w:r>
        <w:rPr>
          <w:rFonts w:hint="eastAsia" w:hAnsi="仿宋_GB2312" w:cs="仿宋_GB2312"/>
          <w:b w:val="0"/>
          <w:color w:val="auto"/>
          <w:kern w:val="0"/>
          <w:sz w:val="32"/>
          <w:szCs w:val="32"/>
          <w:shd w:val="clear" w:color="auto" w:fill="FFFFFF"/>
          <w:lang w:val="zh-CN"/>
        </w:rPr>
        <w:t>，实现资金落到实处，强化执行过程监督。</w:t>
      </w:r>
    </w:p>
    <w:p>
      <w:pPr>
        <w:adjustRightInd w:val="0"/>
        <w:snapToGrid w:val="0"/>
        <w:spacing w:line="578" w:lineRule="exact"/>
        <w:ind w:left="643"/>
        <w:rPr>
          <w:bCs/>
          <w:lang w:val="zh-CN"/>
        </w:rPr>
      </w:pPr>
      <w:r>
        <w:rPr>
          <w:rFonts w:hint="eastAsia" w:ascii="楷体_GB2312" w:hAnsi="宋体" w:eastAsia="楷体_GB2312"/>
          <w:bCs/>
          <w:szCs w:val="32"/>
          <w:lang w:val="zh-CN"/>
        </w:rPr>
        <w:t>（四）项目绩效目标设置。</w:t>
      </w:r>
    </w:p>
    <w:p>
      <w:pPr>
        <w:adjustRightInd w:val="0"/>
        <w:snapToGrid w:val="0"/>
        <w:spacing w:line="578" w:lineRule="exact"/>
        <w:ind w:firstLine="640" w:firstLineChars="200"/>
        <w:rPr>
          <w:rFonts w:ascii="仿宋_GB2312" w:hAnsi="仿宋_GB2312" w:cs="仿宋_GB2312"/>
        </w:rPr>
      </w:pPr>
      <w:r>
        <w:rPr>
          <w:rFonts w:hint="eastAsia" w:ascii="仿宋_GB2312" w:hAnsi="仿宋_GB2312" w:cs="仿宋_GB2312"/>
          <w:bCs/>
          <w:szCs w:val="32"/>
        </w:rPr>
        <w:t>1.</w:t>
      </w:r>
      <w:r>
        <w:rPr>
          <w:rFonts w:hint="eastAsia" w:ascii="仿宋_GB2312" w:hAnsi="仿宋_GB2312" w:cs="仿宋_GB2312"/>
          <w:bCs/>
          <w:szCs w:val="32"/>
          <w:lang w:val="zh-CN"/>
        </w:rPr>
        <w:t>绩效目标设置情况。</w:t>
      </w:r>
      <w:r>
        <w:rPr>
          <w:rFonts w:hint="eastAsia" w:ascii="仿宋_GB2312" w:hAnsi="仿宋_GB2312" w:cs="仿宋_GB2312"/>
          <w:szCs w:val="32"/>
        </w:rPr>
        <w:t>项目绩效目标设置量化可考核，与部门的长期规划目标、年度工作目标相一致，绩效指标可细化、量化，绩效目标和绩效指标契合政策和项目实质，产出和效果相关联，对满意度指标进行了量化预测，绩效目标具有一定前瞻性和挑战性，绩效目标和绩效指标匹配，绩效指标设计全面完整。</w:t>
      </w:r>
    </w:p>
    <w:p>
      <w:pPr>
        <w:adjustRightInd w:val="0"/>
        <w:snapToGrid w:val="0"/>
        <w:spacing w:line="578" w:lineRule="exact"/>
        <w:ind w:firstLine="640" w:firstLineChars="200"/>
        <w:rPr>
          <w:rFonts w:ascii="黑体" w:hAnsi="宋体" w:eastAsia="黑体"/>
        </w:rPr>
      </w:pPr>
      <w:r>
        <w:rPr>
          <w:rFonts w:hint="eastAsia" w:ascii="仿宋_GB2312" w:hAnsi="仿宋_GB2312" w:cs="仿宋_GB2312"/>
          <w:bCs/>
          <w:szCs w:val="32"/>
        </w:rPr>
        <w:t>2.</w:t>
      </w:r>
      <w:r>
        <w:rPr>
          <w:rFonts w:hint="eastAsia" w:ascii="仿宋_GB2312" w:hAnsi="仿宋_GB2312" w:cs="仿宋_GB2312"/>
          <w:bCs/>
          <w:szCs w:val="32"/>
          <w:lang w:val="zh-CN"/>
        </w:rPr>
        <w:t>项目自评工作开展情况。</w:t>
      </w:r>
      <w:r>
        <w:rPr>
          <w:rFonts w:hint="eastAsia" w:ascii="仿宋_GB2312" w:hAnsi="仿宋_GB2312" w:cs="仿宋_GB2312"/>
          <w:szCs w:val="32"/>
        </w:rPr>
        <w:t>单位</w:t>
      </w:r>
      <w:r>
        <w:rPr>
          <w:rFonts w:hint="eastAsia" w:ascii="仿宋_GB2312" w:hAnsi="仿宋_GB2312" w:cs="仿宋_GB2312"/>
          <w:szCs w:val="32"/>
          <w:lang w:val="en"/>
        </w:rPr>
        <w:t>根据项目合同书或验收要求，建立自评指标和标准；然后对照指标和标准，组织相关人员对项目实施的过程及提交的成果，按照各个指标和标准进行了自评。</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rPr>
          <w:rFonts w:ascii="楷体_GB2312" w:hAnsi="宋体" w:eastAsia="楷体_GB2312"/>
          <w:bCs/>
          <w:lang w:val="zh-CN"/>
        </w:rPr>
      </w:pPr>
      <w:r>
        <w:rPr>
          <w:rFonts w:hint="eastAsia" w:ascii="楷体_GB2312" w:hAnsi="宋体" w:eastAsia="楷体_GB2312"/>
          <w:bCs/>
          <w:szCs w:val="32"/>
          <w:lang w:val="zh-CN"/>
        </w:rPr>
        <w:t>（一）评价目的</w:t>
      </w:r>
    </w:p>
    <w:p>
      <w:pPr>
        <w:spacing w:line="578" w:lineRule="exact"/>
        <w:ind w:firstLine="640"/>
        <w:rPr>
          <w:bCs/>
        </w:rPr>
      </w:pPr>
      <w:r>
        <w:rPr>
          <w:bCs/>
          <w:szCs w:val="32"/>
        </w:rPr>
        <w:t>通过</w:t>
      </w:r>
      <w:r>
        <w:rPr>
          <w:rFonts w:hint="eastAsia"/>
          <w:bCs/>
          <w:szCs w:val="32"/>
        </w:rPr>
        <w:t>项目绩效自评来核查此项目是否达到预期目标，从而完善内部管理流程，强化预算支出的责任和效率。</w:t>
      </w:r>
    </w:p>
    <w:p>
      <w:pPr>
        <w:spacing w:line="578" w:lineRule="exact"/>
        <w:ind w:firstLine="640"/>
        <w:rPr>
          <w:bCs/>
        </w:rPr>
      </w:pPr>
      <w:r>
        <w:rPr>
          <w:rFonts w:hint="eastAsia" w:ascii="楷体_GB2312" w:hAnsi="宋体" w:eastAsia="楷体_GB2312"/>
          <w:bCs/>
          <w:szCs w:val="32"/>
          <w:lang w:val="zh-CN"/>
        </w:rPr>
        <w:t>（二）预设问题及评价重点。</w:t>
      </w:r>
      <w:r>
        <w:rPr>
          <w:rFonts w:hint="eastAsia"/>
          <w:bCs/>
          <w:szCs w:val="32"/>
          <w:lang w:val="zh-CN"/>
        </w:rPr>
        <w:t>根据项目实际情况，</w:t>
      </w:r>
      <w:r>
        <w:rPr>
          <w:rFonts w:hint="eastAsia"/>
          <w:bCs/>
          <w:szCs w:val="32"/>
        </w:rPr>
        <w:t>将指标评价体系中的项目管理作为评价重点；将资金使用拨付、项目实施是否符合规定作为预设问题。</w:t>
      </w:r>
    </w:p>
    <w:p>
      <w:pPr>
        <w:adjustRightInd w:val="0"/>
        <w:snapToGrid w:val="0"/>
        <w:spacing w:line="578" w:lineRule="exact"/>
        <w:ind w:firstLine="640" w:firstLineChars="200"/>
        <w:rPr>
          <w:bCs/>
          <w:lang w:val="zh-CN"/>
        </w:rPr>
      </w:pPr>
      <w:r>
        <w:rPr>
          <w:rFonts w:hint="eastAsia" w:ascii="楷体_GB2312" w:hAnsi="宋体" w:eastAsia="楷体_GB2312"/>
          <w:bCs/>
          <w:szCs w:val="32"/>
          <w:lang w:val="zh-CN"/>
        </w:rPr>
        <w:t>（三）评价选点。</w:t>
      </w:r>
      <w:r>
        <w:rPr>
          <w:rFonts w:hint="eastAsia" w:ascii="仿宋_GB2312" w:hAnsi="仿宋_GB2312" w:cs="仿宋_GB2312"/>
          <w:bCs/>
          <w:szCs w:val="32"/>
          <w:lang w:val="zh-CN"/>
        </w:rPr>
        <w:t>主要对资金使用情况进行抽查。</w:t>
      </w:r>
    </w:p>
    <w:p>
      <w:pPr>
        <w:spacing w:line="578" w:lineRule="exact"/>
        <w:ind w:firstLine="640"/>
      </w:pPr>
      <w:r>
        <w:rPr>
          <w:rFonts w:hint="eastAsia" w:ascii="楷体_GB2312" w:hAnsi="宋体" w:eastAsia="楷体_GB2312"/>
          <w:bCs/>
          <w:szCs w:val="32"/>
          <w:lang w:val="zh-CN"/>
        </w:rPr>
        <w:t>（四）评价方法。</w:t>
      </w:r>
      <w:r>
        <w:rPr>
          <w:rFonts w:hint="eastAsia"/>
          <w:bCs/>
          <w:szCs w:val="32"/>
          <w:lang w:val="zh-CN"/>
        </w:rPr>
        <w:t>采用</w:t>
      </w:r>
      <w:r>
        <w:rPr>
          <w:bCs/>
          <w:szCs w:val="32"/>
        </w:rPr>
        <w:t>单位</w:t>
      </w:r>
      <w:r>
        <w:rPr>
          <w:szCs w:val="32"/>
        </w:rPr>
        <w:t>自评法</w:t>
      </w:r>
      <w:r>
        <w:rPr>
          <w:rFonts w:hint="eastAsia"/>
          <w:szCs w:val="32"/>
        </w:rPr>
        <w:t>。</w:t>
      </w:r>
    </w:p>
    <w:p>
      <w:pPr>
        <w:spacing w:line="578" w:lineRule="exact"/>
        <w:ind w:firstLine="640"/>
        <w:rPr>
          <w:bCs/>
        </w:rPr>
      </w:pPr>
      <w:r>
        <w:rPr>
          <w:rFonts w:hint="eastAsia" w:ascii="楷体_GB2312" w:hAnsi="宋体" w:eastAsia="楷体_GB2312"/>
          <w:bCs/>
          <w:szCs w:val="32"/>
          <w:lang w:val="zh-CN"/>
        </w:rPr>
        <w:t>（五）评价组织。</w:t>
      </w:r>
      <w:r>
        <w:rPr>
          <w:rFonts w:hint="eastAsia" w:ascii="仿宋_GB2312" w:hAnsi="仿宋_GB2312" w:cs="仿宋_GB2312"/>
          <w:bCs/>
          <w:szCs w:val="32"/>
          <w:lang w:val="zh-CN"/>
        </w:rPr>
        <w:t>组建项目</w:t>
      </w:r>
      <w:r>
        <w:rPr>
          <w:rFonts w:hint="eastAsia" w:ascii="仿宋_GB2312" w:hAnsi="仿宋_GB2312" w:cs="仿宋_GB2312"/>
          <w:bCs/>
          <w:szCs w:val="32"/>
        </w:rPr>
        <w:t>评价小组，单位负责人为组长，负责自评全面工作；分管领导为副组长，负责安排实施各板块工作、相关部门负责人为成员，负</w:t>
      </w:r>
      <w:r>
        <w:rPr>
          <w:rFonts w:hint="eastAsia" w:ascii="仿宋_GB2312" w:hAnsi="仿宋_GB2312" w:cs="仿宋_GB2312"/>
          <w:szCs w:val="32"/>
        </w:rPr>
        <w:t>责评价具体工作。</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宋体" w:eastAsia="楷体_GB2312"/>
          <w:bCs/>
        </w:rPr>
      </w:pPr>
      <w:r>
        <w:rPr>
          <w:rFonts w:hint="eastAsia" w:ascii="楷体_GB2312" w:hAnsi="宋体" w:eastAsia="楷体_GB2312"/>
          <w:bCs/>
          <w:szCs w:val="32"/>
          <w:lang w:val="zh-CN"/>
        </w:rPr>
        <w:t>（一）</w:t>
      </w:r>
      <w:r>
        <w:rPr>
          <w:rFonts w:hint="eastAsia" w:ascii="楷体_GB2312" w:hAnsi="宋体" w:eastAsia="楷体_GB2312"/>
          <w:bCs/>
          <w:szCs w:val="32"/>
        </w:rPr>
        <w:t>通用指标</w:t>
      </w:r>
      <w:r>
        <w:rPr>
          <w:rFonts w:ascii="楷体_GB2312" w:hAnsi="宋体" w:eastAsia="楷体_GB2312"/>
          <w:bCs/>
          <w:szCs w:val="32"/>
          <w:lang w:val="zh-CN"/>
        </w:rPr>
        <w:t>绩效分析。</w:t>
      </w:r>
    </w:p>
    <w:p>
      <w:pPr>
        <w:spacing w:line="578" w:lineRule="exact"/>
        <w:ind w:firstLine="640"/>
        <w:rPr>
          <w:rFonts w:ascii="仿宋_GB2312" w:hAnsi="仿宋_GB2312" w:cs="仿宋_GB2312"/>
          <w:kern w:val="0"/>
          <w:shd w:val="clear" w:color="auto" w:fill="FFFFFF"/>
        </w:rPr>
      </w:pPr>
      <w:r>
        <w:rPr>
          <w:rFonts w:hint="eastAsia" w:ascii="仿宋_GB2312" w:hAnsi="仿宋_GB2312" w:cs="仿宋_GB2312"/>
          <w:bCs/>
          <w:kern w:val="0"/>
          <w:szCs w:val="32"/>
          <w:shd w:val="clear" w:color="auto" w:fill="FFFFFF"/>
        </w:rPr>
        <w:t>1.项目决策。项目设立、调整延续等方面符合资金管理基本规范和决策程序要求；项目规划符合党中央国务院、省委省政府、市委市政府有关决策部署安排，项目资金与项目总体规划、相关行业事业发展相匹配。绩效目标科学合理、规范完整、量化细化、</w:t>
      </w:r>
      <w:r>
        <w:rPr>
          <w:rFonts w:hint="eastAsia" w:ascii="仿宋_GB2312" w:hAnsi="仿宋_GB2312" w:cs="仿宋_GB2312"/>
          <w:kern w:val="0"/>
          <w:szCs w:val="32"/>
          <w:shd w:val="clear" w:color="auto" w:fill="FFFFFF"/>
        </w:rPr>
        <w:t>与预算匹配。自评得分18分。</w:t>
      </w:r>
    </w:p>
    <w:p>
      <w:pPr>
        <w:spacing w:line="578" w:lineRule="exact"/>
        <w:ind w:firstLine="640"/>
      </w:pPr>
      <w:r>
        <w:rPr>
          <w:rFonts w:hint="eastAsia" w:ascii="仿宋_GB2312" w:hAnsi="仿宋_GB2312" w:cs="仿宋_GB2312"/>
          <w:kern w:val="0"/>
          <w:szCs w:val="32"/>
          <w:shd w:val="clear" w:color="auto" w:fill="FFFFFF"/>
        </w:rPr>
        <w:t>2.项目管理。</w:t>
      </w:r>
      <w:r>
        <w:rPr>
          <w:rFonts w:hint="eastAsia" w:ascii="仿宋_GB2312" w:hAnsi="仿宋_GB2312" w:cs="仿宋_GB2312"/>
          <w:szCs w:val="32"/>
        </w:rPr>
        <w:t>项目资金分配合理，项目管理、审批符合管理要求；项目绩效监管均按要求开展。自评得分18分。</w:t>
      </w:r>
    </w:p>
    <w:p>
      <w:pPr>
        <w:spacing w:line="578" w:lineRule="exact"/>
        <w:ind w:firstLine="640"/>
        <w:rPr>
          <w:rFonts w:ascii="仿宋_GB2312" w:hAnsi="仿宋_GB2312" w:cs="仿宋_GB2312"/>
          <w:kern w:val="0"/>
          <w:shd w:val="clear" w:color="auto" w:fill="FFFFFF"/>
        </w:rPr>
      </w:pPr>
      <w:r>
        <w:rPr>
          <w:rFonts w:hint="eastAsia" w:ascii="仿宋_GB2312" w:hAnsi="仿宋_GB2312" w:cs="仿宋_GB2312"/>
          <w:kern w:val="0"/>
          <w:szCs w:val="32"/>
          <w:shd w:val="clear" w:color="auto" w:fill="FFFFFF"/>
        </w:rPr>
        <w:t>3.项目实施</w:t>
      </w:r>
    </w:p>
    <w:p>
      <w:pPr>
        <w:adjustRightInd w:val="0"/>
        <w:snapToGrid w:val="0"/>
        <w:spacing w:line="576" w:lineRule="exact"/>
        <w:ind w:firstLine="640" w:firstLineChars="200"/>
        <w:rPr>
          <w:lang w:val="zh-CN"/>
        </w:rPr>
      </w:pPr>
      <w:r>
        <w:rPr>
          <w:rFonts w:hint="eastAsia" w:ascii="仿宋_GB2312" w:hAnsi="仿宋_GB2312" w:cs="仿宋_GB2312"/>
          <w:szCs w:val="32"/>
        </w:rPr>
        <w:t>一是完成支付2021年—2022年广元市利州区万缘街道办事处老街社区第一居民小组土地流转费11.795242万元。二是完成支付2021年—2022年广元市利州区万缘街道办事处老街社区第二居民小组土地流转费28.764108万元。三是完成支付2021年—2022年广元市利州区万缘街道办事处老街社区第三居民小组土地流转费6.588436万元。自评得分9分。</w:t>
      </w:r>
    </w:p>
    <w:p>
      <w:pPr>
        <w:adjustRightInd w:val="0"/>
        <w:snapToGrid w:val="0"/>
        <w:spacing w:line="576" w:lineRule="exact"/>
        <w:ind w:firstLine="640" w:firstLineChars="200"/>
        <w:rPr>
          <w:rFonts w:ascii="仿宋_GB2312" w:hAnsi="仿宋_GB2312" w:cs="仿宋_GB2312"/>
        </w:rPr>
      </w:pPr>
      <w:r>
        <w:rPr>
          <w:rFonts w:hint="eastAsia" w:ascii="仿宋_GB2312" w:hAnsi="仿宋_GB2312" w:cs="仿宋_GB2312"/>
          <w:szCs w:val="32"/>
        </w:rPr>
        <w:t>4.项目结果。项目在计划内完成，且完成预期目标，实施结果与绩效目标相匹配。自评得分9分。</w:t>
      </w:r>
    </w:p>
    <w:p>
      <w:pPr>
        <w:spacing w:line="578" w:lineRule="exact"/>
        <w:ind w:firstLine="640" w:firstLineChars="200"/>
        <w:rPr>
          <w:rFonts w:ascii="楷体_GB2312" w:hAnsi="楷体_GB2312" w:eastAsia="楷体_GB2312" w:cs="楷体_GB2312"/>
          <w:bCs/>
          <w:lang w:val="zh-CN"/>
        </w:rPr>
      </w:pPr>
      <w:r>
        <w:rPr>
          <w:rFonts w:hint="eastAsia" w:ascii="楷体_GB2312" w:hAnsi="宋体" w:eastAsia="楷体_GB2312"/>
          <w:bCs/>
          <w:szCs w:val="32"/>
          <w:lang w:val="zh-CN"/>
        </w:rPr>
        <w:t>（二）</w:t>
      </w:r>
      <w:r>
        <w:rPr>
          <w:rFonts w:hint="eastAsia" w:ascii="楷体_GB2312" w:hAnsi="宋体" w:eastAsia="楷体_GB2312"/>
          <w:bCs/>
          <w:szCs w:val="32"/>
        </w:rPr>
        <w:t>专用指标</w:t>
      </w:r>
      <w:r>
        <w:rPr>
          <w:rFonts w:eastAsia="楷体_GB2312"/>
          <w:bCs/>
          <w:color w:val="000000"/>
          <w:kern w:val="0"/>
          <w:szCs w:val="32"/>
          <w:shd w:val="clear" w:color="auto" w:fill="FFFFFF"/>
          <w:lang w:val="zh-CN"/>
        </w:rPr>
        <w:t>绩效分析。</w:t>
      </w:r>
    </w:p>
    <w:p>
      <w:pPr>
        <w:adjustRightInd w:val="0"/>
        <w:snapToGrid w:val="0"/>
        <w:spacing w:line="576" w:lineRule="exact"/>
        <w:ind w:firstLine="640" w:firstLineChars="200"/>
        <w:rPr>
          <w:rFonts w:ascii="仿宋_GB2312" w:hAnsi="仿宋_GB2312" w:cs="仿宋_GB2312"/>
          <w:bCs/>
          <w:color w:val="000000" w:themeColor="text1"/>
          <w:szCs w:val="40"/>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民生保障方面，</w:t>
      </w:r>
      <w:r>
        <w:rPr>
          <w:rFonts w:hint="eastAsia" w:ascii="仿宋_GB2312" w:hAnsi="宋体"/>
          <w:bCs/>
          <w:szCs w:val="32"/>
        </w:rPr>
        <w:t>及时支付南河湿地公园土地流转费，保障了失地农民正常生活，</w:t>
      </w:r>
      <w:r>
        <w:rPr>
          <w:rFonts w:hint="eastAsia" w:ascii="仿宋_GB2312" w:hAnsi="仿宋_GB2312" w:cs="仿宋_GB2312"/>
          <w:bCs/>
          <w:szCs w:val="32"/>
        </w:rPr>
        <w:t>确保了信访形势稳定，</w:t>
      </w:r>
      <w:r>
        <w:rPr>
          <w:rFonts w:hint="eastAsia" w:ascii="仿宋_GB2312" w:hAnsi="宋体"/>
          <w:bCs/>
          <w:szCs w:val="32"/>
        </w:rPr>
        <w:t>维护了社会稳定。</w:t>
      </w:r>
      <w:r>
        <w:rPr>
          <w:rFonts w:hint="eastAsia" w:ascii="仿宋_GB2312" w:hAnsi="仿宋_GB2312" w:cs="仿宋_GB2312"/>
          <w:bCs/>
          <w:color w:val="000000" w:themeColor="text1"/>
          <w:szCs w:val="40"/>
          <w14:textFill>
            <w14:solidFill>
              <w14:schemeClr w14:val="tx1"/>
            </w14:solidFill>
          </w14:textFill>
        </w:rPr>
        <w:t>自评得分30分。</w:t>
      </w:r>
    </w:p>
    <w:p>
      <w:pPr>
        <w:spacing w:line="578" w:lineRule="exact"/>
        <w:ind w:firstLine="640"/>
      </w:pPr>
      <w:r>
        <w:rPr>
          <w:rFonts w:hint="eastAsia" w:ascii="楷体_GB2312" w:hAnsi="宋体" w:eastAsia="楷体_GB2312"/>
          <w:bCs/>
          <w:szCs w:val="32"/>
          <w:lang w:val="zh-CN"/>
        </w:rPr>
        <w:t>（三）</w:t>
      </w:r>
      <w:r>
        <w:rPr>
          <w:rFonts w:hint="eastAsia" w:ascii="楷体_GB2312" w:hAnsi="宋体" w:eastAsia="楷体_GB2312"/>
          <w:bCs/>
          <w:szCs w:val="32"/>
        </w:rPr>
        <w:t>个性指标</w:t>
      </w:r>
      <w:r>
        <w:rPr>
          <w:rFonts w:eastAsia="楷体_GB2312"/>
          <w:bCs/>
          <w:color w:val="000000"/>
          <w:kern w:val="0"/>
          <w:szCs w:val="32"/>
          <w:shd w:val="clear" w:color="auto" w:fill="FFFFFF"/>
          <w:lang w:val="zh-CN"/>
        </w:rPr>
        <w:t>绩效分析。</w:t>
      </w:r>
      <w:r>
        <w:rPr>
          <w:rFonts w:ascii="仿宋_GB2312" w:hAnsi="仿宋_GB2312" w:cs="仿宋_GB2312"/>
          <w:bCs/>
          <w:szCs w:val="32"/>
          <w:lang w:val="zh-CN"/>
        </w:rPr>
        <w:t>项目申报真实准确</w:t>
      </w:r>
      <w:r>
        <w:rPr>
          <w:rFonts w:hint="eastAsia" w:ascii="仿宋_GB2312" w:hAnsi="仿宋_GB2312" w:cs="仿宋_GB2312"/>
          <w:bCs/>
          <w:szCs w:val="32"/>
          <w:lang w:val="zh-CN"/>
        </w:rPr>
        <w:t>，项目资金支付使用情况合理合规。</w:t>
      </w:r>
      <w:r>
        <w:rPr>
          <w:rFonts w:hint="eastAsia" w:ascii="仿宋_GB2312" w:hAnsi="仿宋_GB2312" w:cs="仿宋_GB2312"/>
          <w:bCs/>
          <w:szCs w:val="32"/>
        </w:rPr>
        <w:t>自</w:t>
      </w:r>
      <w:r>
        <w:rPr>
          <w:rFonts w:hint="eastAsia" w:ascii="仿宋_GB2312" w:hAnsi="仿宋_GB2312" w:cs="仿宋_GB2312"/>
          <w:szCs w:val="32"/>
        </w:rPr>
        <w:t>评得分16分。</w:t>
      </w:r>
    </w:p>
    <w:p>
      <w:pPr>
        <w:pStyle w:val="2"/>
        <w:spacing w:before="93" w:line="600" w:lineRule="exact"/>
        <w:ind w:firstLine="640" w:firstLineChars="200"/>
        <w:rPr>
          <w:rFonts w:ascii="黑体" w:hAnsi="宋体"/>
          <w:sz w:val="32"/>
          <w:szCs w:val="32"/>
        </w:rPr>
      </w:pPr>
      <w:r>
        <w:rPr>
          <w:rFonts w:hint="eastAsia" w:ascii="黑体" w:hAnsi="宋体" w:eastAsia="黑体"/>
          <w:sz w:val="32"/>
          <w:szCs w:val="32"/>
        </w:rPr>
        <w:t>四、评价结论</w:t>
      </w:r>
    </w:p>
    <w:p>
      <w:pPr>
        <w:pStyle w:val="2"/>
        <w:spacing w:before="93" w:line="600" w:lineRule="exact"/>
        <w:ind w:firstLine="640" w:firstLineChars="200"/>
        <w:rPr>
          <w:rFonts w:hAnsi="仿宋_GB2312" w:cs="仿宋_GB2312"/>
          <w:sz w:val="32"/>
          <w:szCs w:val="32"/>
        </w:rPr>
      </w:pPr>
      <w:r>
        <w:rPr>
          <w:rFonts w:hint="eastAsia" w:hAnsi="仿宋_GB2312" w:cs="仿宋_GB2312"/>
          <w:sz w:val="32"/>
          <w:szCs w:val="32"/>
        </w:rPr>
        <w:t>及时支付2021—2022年土地流转费，确保了信访形势稳定，维护了社会稳定。进一步提升湿地公园生态质量，为市民提供一个安全、有序，生态、优美的休闲、娱乐、健身环境。经评价小组认真、系统评价，项目实施较好，自评得分100分。</w:t>
      </w:r>
    </w:p>
    <w:p>
      <w:pPr>
        <w:pStyle w:val="2"/>
        <w:spacing w:before="93" w:line="600" w:lineRule="exact"/>
        <w:ind w:firstLine="640" w:firstLineChars="200"/>
        <w:rPr>
          <w:rFonts w:ascii="黑体" w:hAnsi="宋体"/>
          <w:sz w:val="32"/>
          <w:szCs w:val="32"/>
        </w:rPr>
      </w:pPr>
      <w:r>
        <w:rPr>
          <w:rFonts w:hint="eastAsia" w:ascii="黑体" w:hAnsi="黑体" w:eastAsia="黑体"/>
          <w:sz w:val="32"/>
          <w:szCs w:val="32"/>
        </w:rPr>
        <w:t>五、存</w:t>
      </w:r>
      <w:r>
        <w:rPr>
          <w:rFonts w:hint="eastAsia" w:ascii="黑体" w:hAnsi="宋体" w:eastAsia="黑体"/>
          <w:sz w:val="32"/>
          <w:szCs w:val="32"/>
        </w:rPr>
        <w:t>在主要问题</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专项预算项目绩效指标设置需加强。</w:t>
      </w:r>
    </w:p>
    <w:p>
      <w:pPr>
        <w:pStyle w:val="2"/>
        <w:spacing w:before="93" w:line="600" w:lineRule="exact"/>
        <w:ind w:firstLine="640" w:firstLineChars="200"/>
        <w:rPr>
          <w:rFonts w:ascii="黑体" w:hAnsi="宋体"/>
          <w:sz w:val="32"/>
          <w:szCs w:val="32"/>
          <w:lang w:val="zh-CN"/>
        </w:rPr>
      </w:pPr>
      <w:r>
        <w:rPr>
          <w:rFonts w:hint="eastAsia" w:ascii="黑体" w:hAnsi="宋体" w:eastAsia="黑体"/>
          <w:position w:val="3"/>
          <w:sz w:val="32"/>
          <w:szCs w:val="32"/>
          <w:lang w:val="zh-CN"/>
        </w:rPr>
        <w:t>六、改进建议</w:t>
      </w:r>
    </w:p>
    <w:p>
      <w:pPr>
        <w:pStyle w:val="2"/>
        <w:spacing w:before="93" w:line="576" w:lineRule="exact"/>
      </w:pPr>
      <w:r>
        <w:rPr>
          <w:rFonts w:hint="eastAsia" w:hAnsi="仿宋_GB2312" w:cs="仿宋_GB2312"/>
          <w:sz w:val="32"/>
          <w:szCs w:val="32"/>
          <w:shd w:val="clear" w:color="auto" w:fill="FFFFFF"/>
          <w:lang w:val="zh-CN"/>
        </w:rPr>
        <w:t xml:space="preserve"> </w:t>
      </w:r>
      <w:r>
        <w:rPr>
          <w:rFonts w:hint="eastAsia" w:hAnsi="仿宋_GB2312" w:cs="仿宋_GB2312"/>
          <w:sz w:val="32"/>
          <w:szCs w:val="32"/>
        </w:rPr>
        <w:t xml:space="preserve">   加强对申报项目的培训学习，使项目编制更加符合绩效评价相关要求，牢固树立绩效管理理念，同时进一步提高绩效评价工作方式、方法。</w:t>
      </w:r>
    </w:p>
    <w:p>
      <w:pPr>
        <w:pStyle w:val="2"/>
        <w:spacing w:before="93" w:line="576" w:lineRule="exact"/>
      </w:pPr>
    </w:p>
    <w:p>
      <w:pPr>
        <w:pStyle w:val="2"/>
        <w:spacing w:before="93" w:line="576" w:lineRule="exact"/>
      </w:pPr>
    </w:p>
    <w:p>
      <w:pPr>
        <w:pStyle w:val="2"/>
        <w:spacing w:before="93" w:line="576" w:lineRule="exact"/>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r>
        <w:rPr>
          <w:rFonts w:hint="eastAsia" w:ascii="方正小标宋简体" w:hAnsi="方正小标宋_GBK" w:eastAsia="方正小标宋简体" w:cs="方正小标宋_GBK"/>
          <w:color w:val="000000" w:themeColor="text1"/>
          <w:kern w:val="2"/>
          <w:sz w:val="44"/>
          <w:szCs w:val="44"/>
          <w:lang w:val="en-US"/>
          <w14:textFill>
            <w14:solidFill>
              <w14:schemeClr w14:val="tx1"/>
            </w14:solidFill>
          </w14:textFill>
        </w:rPr>
        <w:t>关于2022年城区公园广场春节氛围营造项目剩余资金的绩效评价报告</w:t>
      </w:r>
    </w:p>
    <w:p>
      <w:pPr>
        <w:pStyle w:val="38"/>
        <w:spacing w:line="578" w:lineRule="exact"/>
        <w:ind w:firstLine="640"/>
        <w:jc w:val="center"/>
        <w:rPr>
          <w:rFonts w:ascii="宋体" w:hAnsi="宋体"/>
          <w:color w:val="auto"/>
          <w:kern w:val="2"/>
          <w:sz w:val="32"/>
          <w:szCs w:val="32"/>
        </w:rPr>
      </w:pPr>
    </w:p>
    <w:p>
      <w:pPr>
        <w:adjustRightInd w:val="0"/>
        <w:snapToGrid w:val="0"/>
        <w:spacing w:line="576" w:lineRule="exact"/>
        <w:ind w:firstLine="640" w:firstLineChars="200"/>
        <w:rPr>
          <w:rFonts w:ascii="黑体" w:hAnsi="宋体" w:eastAsia="黑体"/>
          <w:color w:val="000000" w:themeColor="text1"/>
          <w:lang w:val="zh-CN"/>
          <w14:textFill>
            <w14:solidFill>
              <w14:schemeClr w14:val="tx1"/>
            </w14:solidFill>
          </w14:textFill>
        </w:rPr>
      </w:pPr>
      <w:r>
        <w:rPr>
          <w:rFonts w:hint="eastAsia" w:ascii="黑体" w:hAnsi="宋体" w:eastAsia="黑体"/>
          <w:color w:val="000000" w:themeColor="text1"/>
          <w14:textFill>
            <w14:solidFill>
              <w14:schemeClr w14:val="tx1"/>
            </w14:solidFill>
          </w14:textFill>
        </w:rPr>
        <w:t>一、</w:t>
      </w:r>
      <w:r>
        <w:rPr>
          <w:rFonts w:hint="eastAsia" w:ascii="黑体" w:hAnsi="宋体" w:eastAsia="黑体"/>
          <w:color w:val="000000" w:themeColor="text1"/>
          <w:lang w:val="zh-CN"/>
          <w14:textFill>
            <w14:solidFill>
              <w14:schemeClr w14:val="tx1"/>
            </w14:solidFill>
          </w14:textFill>
        </w:rPr>
        <w:t>项目概况</w:t>
      </w:r>
    </w:p>
    <w:p>
      <w:pPr>
        <w:snapToGrid w:val="0"/>
        <w:spacing w:line="576" w:lineRule="exact"/>
        <w:ind w:firstLine="640" w:firstLineChars="200"/>
        <w:rPr>
          <w:rFonts w:ascii="仿宋_GB2312" w:hAnsi="仿宋_GB2312" w:cs="仿宋_GB2312"/>
          <w:color w:val="000000" w:themeColor="text1"/>
          <w14:textFill>
            <w14:solidFill>
              <w14:schemeClr w14:val="tx1"/>
            </w14:solidFill>
          </w14:textFill>
        </w:rPr>
      </w:pPr>
      <w:r>
        <w:rPr>
          <w:rFonts w:hint="eastAsia" w:ascii="楷体_GB2312" w:hAnsi="宋体" w:eastAsia="楷体_GB2312"/>
          <w:color w:val="000000" w:themeColor="text1"/>
          <w:szCs w:val="32"/>
          <w:lang w:val="zh-CN"/>
          <w14:textFill>
            <w14:solidFill>
              <w14:schemeClr w14:val="tx1"/>
            </w14:solidFill>
          </w14:textFill>
        </w:rPr>
        <w:t>（一）项目基本情况</w:t>
      </w:r>
    </w:p>
    <w:p>
      <w:pPr>
        <w:snapToGrid w:val="0"/>
        <w:spacing w:line="576" w:lineRule="exact"/>
        <w:ind w:firstLine="640" w:firstLineChars="200"/>
        <w:rPr>
          <w:rFonts w:ascii="仿宋_GB2312" w:hAnsi="仿宋_GB2312" w:cs="仿宋_GB2312"/>
          <w:color w:val="000000" w:themeColor="text1"/>
          <w14:textFill>
            <w14:solidFill>
              <w14:schemeClr w14:val="tx1"/>
            </w14:solidFill>
          </w14:textFill>
        </w:rPr>
      </w:pPr>
      <w:r>
        <w:rPr>
          <w:rFonts w:hint="eastAsia" w:ascii="仿宋_GB2312" w:hAnsi="仿宋_GB2312" w:cs="仿宋_GB2312"/>
          <w:szCs w:val="32"/>
        </w:rPr>
        <w:t>根据中共广元市委宣传部关于印发《广元市2022年元旦春节氛围营造工作方案》的通知及市文旅集团安排部署，</w:t>
      </w:r>
      <w:r>
        <w:rPr>
          <w:rFonts w:hint="eastAsia" w:hAnsi="仿宋_GB2312" w:cs="仿宋_GB2312"/>
          <w:szCs w:val="32"/>
        </w:rPr>
        <w:t>广元文旅城市管理服务有限公司</w:t>
      </w:r>
      <w:r>
        <w:rPr>
          <w:rFonts w:hint="eastAsia" w:ascii="仿宋_GB2312" w:hAnsi="仿宋_GB2312" w:cs="仿宋_GB2312"/>
          <w:szCs w:val="32"/>
        </w:rPr>
        <w:t>主要负责三大公园、四大广场的春节氛围营造。</w:t>
      </w:r>
    </w:p>
    <w:p>
      <w:pPr>
        <w:snapToGrid w:val="0"/>
        <w:spacing w:line="576" w:lineRule="exact"/>
        <w:ind w:firstLine="640" w:firstLineChars="200"/>
        <w:rPr>
          <w:rFonts w:ascii="楷体_GB2312" w:hAnsi="宋体" w:eastAsia="楷体_GB2312"/>
          <w:color w:val="000000" w:themeColor="text1"/>
          <w:lang w:val="zh-CN"/>
          <w14:textFill>
            <w14:solidFill>
              <w14:schemeClr w14:val="tx1"/>
            </w14:solidFill>
          </w14:textFill>
        </w:rPr>
      </w:pPr>
      <w:r>
        <w:rPr>
          <w:rFonts w:hint="eastAsia" w:ascii="楷体_GB2312" w:hAnsi="宋体" w:eastAsia="楷体_GB2312"/>
          <w:color w:val="000000" w:themeColor="text1"/>
          <w:szCs w:val="32"/>
          <w14:textFill>
            <w14:solidFill>
              <w14:schemeClr w14:val="tx1"/>
            </w14:solidFill>
          </w14:textFill>
        </w:rPr>
        <w:t>（二）</w:t>
      </w:r>
      <w:r>
        <w:rPr>
          <w:rFonts w:ascii="楷体_GB2312" w:hAnsi="宋体" w:eastAsia="楷体_GB2312"/>
          <w:color w:val="000000" w:themeColor="text1"/>
          <w:szCs w:val="32"/>
          <w14:textFill>
            <w14:solidFill>
              <w14:schemeClr w14:val="tx1"/>
            </w14:solidFill>
          </w14:textFill>
        </w:rPr>
        <w:t>实施目的及支持方向</w:t>
      </w:r>
    </w:p>
    <w:p>
      <w:pPr>
        <w:snapToGrid w:val="0"/>
        <w:spacing w:line="576" w:lineRule="exact"/>
        <w:ind w:firstLine="640" w:firstLineChars="200"/>
        <w:jc w:val="left"/>
        <w:rPr>
          <w:rFonts w:ascii="仿宋_GB2312" w:hAnsi="仿宋_GB2312" w:cs="仿宋_GB2312"/>
          <w:color w:val="000000" w:themeColor="text1"/>
          <w:kern w:val="0"/>
          <w:shd w:val="clear" w:color="auto" w:fill="FFFFFF"/>
          <w:lang w:val="zh-CN"/>
          <w14:textFill>
            <w14:solidFill>
              <w14:schemeClr w14:val="tx1"/>
            </w14:solidFill>
          </w14:textFill>
        </w:rPr>
      </w:pPr>
      <w:r>
        <w:rPr>
          <w:rFonts w:hint="eastAsia" w:ascii="仿宋_GB2312" w:hAnsi="仿宋_GB2312" w:cs="仿宋_GB2312"/>
          <w:color w:val="000000" w:themeColor="text1"/>
          <w:kern w:val="0"/>
          <w:szCs w:val="32"/>
          <w:shd w:val="clear" w:color="auto" w:fill="FFFFFF"/>
          <w14:textFill>
            <w14:solidFill>
              <w14:schemeClr w14:val="tx1"/>
            </w14:solidFill>
          </w14:textFill>
        </w:rPr>
        <w:t>1.</w:t>
      </w:r>
      <w:r>
        <w:rPr>
          <w:rFonts w:hint="eastAsia" w:ascii="仿宋_GB2312" w:hAnsi="仿宋_GB2312" w:cs="仿宋_GB2312"/>
          <w:color w:val="000000" w:themeColor="text1"/>
          <w:kern w:val="0"/>
          <w:szCs w:val="32"/>
          <w:shd w:val="clear" w:color="auto" w:fill="FFFFFF"/>
          <w:lang w:val="zh-CN"/>
          <w14:textFill>
            <w14:solidFill>
              <w14:schemeClr w14:val="tx1"/>
            </w14:solidFill>
          </w14:textFill>
        </w:rPr>
        <w:t>项目主要内容</w:t>
      </w:r>
    </w:p>
    <w:p>
      <w:pPr>
        <w:adjustRightInd w:val="0"/>
        <w:snapToGrid w:val="0"/>
        <w:spacing w:line="576" w:lineRule="exact"/>
        <w:ind w:firstLine="640" w:firstLineChars="200"/>
      </w:pPr>
      <w:r>
        <w:rPr>
          <w:rFonts w:hint="eastAsia"/>
          <w:szCs w:val="32"/>
        </w:rPr>
        <w:t>湿地公园、凤凰山公园、红星公园、利州广场、苴国广场、南河广场、嘉陵广场各点位设置主题景观小品、夜间景观造型（流星雨、满天星）及悬挂装饰（悬挂灯笼、冬瓜灯笼、绒布灯笼、中国结、彩旗、藤球灯）。</w:t>
      </w:r>
    </w:p>
    <w:p>
      <w:pPr>
        <w:adjustRightInd w:val="0"/>
        <w:snapToGrid w:val="0"/>
        <w:spacing w:line="576" w:lineRule="exact"/>
        <w:ind w:firstLine="640" w:firstLineChars="200"/>
        <w:contextualSpacing/>
        <w:rPr>
          <w:rFonts w:ascii="仿宋_GB2312" w:hAnsi="仿宋_GB2312" w:cs="仿宋_GB2312"/>
          <w:color w:val="000000" w:themeColor="text1"/>
          <w:kern w:val="0"/>
          <w:shd w:val="clear" w:color="auto" w:fill="FFFFFF"/>
          <w:lang w:val="zh-CN"/>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2.</w:t>
      </w:r>
      <w:r>
        <w:rPr>
          <w:rFonts w:hint="eastAsia" w:ascii="仿宋_GB2312" w:hAnsi="仿宋_GB2312" w:cs="仿宋_GB2312"/>
          <w:color w:val="000000" w:themeColor="text1"/>
          <w:szCs w:val="32"/>
          <w:lang w:val="zh-CN"/>
          <w14:textFill>
            <w14:solidFill>
              <w14:schemeClr w14:val="tx1"/>
            </w14:solidFill>
          </w14:textFill>
        </w:rPr>
        <w:t>项目实施目的</w:t>
      </w:r>
    </w:p>
    <w:p>
      <w:pPr>
        <w:adjustRightInd w:val="0"/>
        <w:snapToGrid w:val="0"/>
        <w:spacing w:line="576" w:lineRule="exact"/>
        <w:ind w:firstLine="640" w:firstLineChars="200"/>
        <w:rPr>
          <w:rFonts w:ascii="仿宋_GB2312" w:hAnsi="仿宋_GB2312" w:cs="仿宋_GB2312"/>
        </w:rPr>
      </w:pPr>
      <w:r>
        <w:rPr>
          <w:rFonts w:hint="eastAsia" w:ascii="仿宋_GB2312" w:hAnsi="仿宋_GB2312" w:cs="仿宋_GB2312"/>
          <w:szCs w:val="32"/>
        </w:rPr>
        <w:t>弘扬中国传统文化，营造喜庆祥和文明的节日气氛，让广大群众在欢乐、温馨、文明、和谐的环境中欢度春节。</w:t>
      </w:r>
    </w:p>
    <w:p>
      <w:pPr>
        <w:snapToGrid w:val="0"/>
        <w:spacing w:line="576" w:lineRule="exact"/>
        <w:ind w:firstLine="640" w:firstLineChars="200"/>
        <w:jc w:val="left"/>
        <w:rPr>
          <w:rFonts w:ascii="仿宋_GB2312" w:hAnsi="仿宋_GB2312" w:cs="仿宋_GB2312"/>
        </w:rPr>
      </w:pPr>
      <w:r>
        <w:rPr>
          <w:rFonts w:hint="eastAsia" w:ascii="仿宋_GB2312" w:hAnsi="仿宋_GB2312" w:cs="仿宋_GB2312"/>
          <w:szCs w:val="32"/>
        </w:rPr>
        <w:t>3.支持方向</w:t>
      </w:r>
    </w:p>
    <w:p>
      <w:pPr>
        <w:adjustRightInd w:val="0"/>
        <w:snapToGrid w:val="0"/>
        <w:spacing w:line="576" w:lineRule="exact"/>
        <w:ind w:firstLine="640" w:firstLineChars="200"/>
        <w:rPr>
          <w:lang w:val="zh-CN"/>
        </w:rPr>
      </w:pPr>
      <w:r>
        <w:rPr>
          <w:rFonts w:hint="eastAsia" w:ascii="仿宋_GB2312" w:hAnsi="仿宋_GB2312" w:cs="仿宋_GB2312"/>
          <w:szCs w:val="32"/>
          <w:lang w:val="zh-CN"/>
        </w:rPr>
        <w:t>根据中共广元市委宣传部《关于印发&lt;广元市2022年元旦春节氛围营造工作方案&gt;的通知》精神，市文旅集团负责城区公园广场 2022 年</w:t>
      </w:r>
      <w:r>
        <w:rPr>
          <w:rFonts w:hint="eastAsia"/>
          <w:szCs w:val="32"/>
          <w:lang w:val="zh-CN"/>
        </w:rPr>
        <w:t>元旦春节氛围营造工作。市文旅集团交由下属子公司广元文旅城市管理服务有限公司实施。</w:t>
      </w:r>
    </w:p>
    <w:p>
      <w:pPr>
        <w:adjustRightInd w:val="0"/>
        <w:snapToGrid w:val="0"/>
        <w:spacing w:line="576" w:lineRule="exact"/>
        <w:ind w:firstLine="640" w:firstLineChars="200"/>
        <w:rPr>
          <w:lang w:val="zh-CN"/>
        </w:rPr>
      </w:pPr>
      <w:r>
        <w:rPr>
          <w:rFonts w:hint="eastAsia" w:ascii="楷体_GB2312" w:hAnsi="宋体" w:eastAsia="楷体_GB2312"/>
          <w:bCs/>
          <w:szCs w:val="32"/>
        </w:rPr>
        <w:t>（三）</w:t>
      </w:r>
      <w:r>
        <w:rPr>
          <w:rFonts w:ascii="楷体_GB2312" w:hAnsi="宋体" w:eastAsia="楷体_GB2312"/>
          <w:bCs/>
          <w:szCs w:val="32"/>
        </w:rPr>
        <w:t>预算安排及分配管理</w:t>
      </w:r>
    </w:p>
    <w:p>
      <w:pPr>
        <w:pStyle w:val="2"/>
        <w:spacing w:before="93" w:line="576" w:lineRule="exact"/>
        <w:ind w:firstLine="640" w:firstLineChars="200"/>
        <w:rPr>
          <w:rFonts w:hAnsi="仿宋_GB2312" w:cs="仿宋_GB2312"/>
          <w:kern w:val="2"/>
          <w:sz w:val="32"/>
          <w:szCs w:val="32"/>
        </w:rPr>
      </w:pPr>
      <w:r>
        <w:rPr>
          <w:rFonts w:hint="eastAsia" w:hAnsi="仿宋_GB2312" w:cs="仿宋_GB2312"/>
          <w:kern w:val="2"/>
          <w:sz w:val="32"/>
          <w:szCs w:val="32"/>
          <w:lang w:val="zh-CN"/>
        </w:rPr>
        <w:t>市财政局分别于</w:t>
      </w:r>
      <w:r>
        <w:rPr>
          <w:rFonts w:hint="eastAsia" w:hAnsi="仿宋_GB2312" w:cs="仿宋_GB2312"/>
          <w:kern w:val="2"/>
          <w:sz w:val="32"/>
          <w:szCs w:val="32"/>
        </w:rPr>
        <w:t>2021年12月31日、2022年2月14日</w:t>
      </w:r>
      <w:r>
        <w:rPr>
          <w:rFonts w:hint="eastAsia" w:hAnsi="仿宋_GB2312" w:cs="仿宋_GB2312"/>
          <w:kern w:val="2"/>
          <w:sz w:val="32"/>
          <w:szCs w:val="32"/>
          <w:lang w:val="zh-CN"/>
        </w:rPr>
        <w:t>下达了《</w:t>
      </w:r>
      <w:r>
        <w:rPr>
          <w:rFonts w:hint="eastAsia" w:hAnsi="仿宋_GB2312" w:cs="仿宋_GB2312"/>
          <w:kern w:val="2"/>
          <w:sz w:val="32"/>
          <w:szCs w:val="32"/>
        </w:rPr>
        <w:t>广元市财政局</w:t>
      </w:r>
      <w:r>
        <w:rPr>
          <w:rFonts w:hint="eastAsia" w:hAnsi="仿宋_GB2312" w:cs="仿宋_GB2312"/>
          <w:kern w:val="2"/>
          <w:sz w:val="32"/>
          <w:szCs w:val="32"/>
          <w:lang w:val="zh-CN"/>
        </w:rPr>
        <w:t>关于下达基金</w:t>
      </w:r>
      <w:r>
        <w:rPr>
          <w:rFonts w:hint="eastAsia" w:hAnsi="仿宋_GB2312" w:cs="仿宋_GB2312"/>
          <w:kern w:val="2"/>
          <w:sz w:val="32"/>
          <w:szCs w:val="32"/>
        </w:rPr>
        <w:t>指标的通知</w:t>
      </w:r>
      <w:r>
        <w:rPr>
          <w:rFonts w:hint="eastAsia" w:hAnsi="仿宋_GB2312" w:cs="仿宋_GB2312"/>
          <w:kern w:val="2"/>
          <w:sz w:val="32"/>
          <w:szCs w:val="32"/>
          <w:lang w:val="zh-CN"/>
        </w:rPr>
        <w:t>》（广财投〔</w:t>
      </w:r>
      <w:r>
        <w:rPr>
          <w:rFonts w:hint="eastAsia" w:hAnsi="仿宋_GB2312" w:cs="仿宋_GB2312"/>
          <w:kern w:val="2"/>
          <w:sz w:val="32"/>
          <w:szCs w:val="32"/>
        </w:rPr>
        <w:t>2021</w:t>
      </w:r>
      <w:r>
        <w:rPr>
          <w:rFonts w:hint="eastAsia" w:hAnsi="仿宋_GB2312" w:cs="仿宋_GB2312"/>
          <w:kern w:val="2"/>
          <w:sz w:val="32"/>
          <w:szCs w:val="32"/>
          <w:lang w:val="zh-CN"/>
        </w:rPr>
        <w:t>〕</w:t>
      </w:r>
      <w:r>
        <w:rPr>
          <w:rFonts w:hint="eastAsia" w:hAnsi="仿宋_GB2312" w:cs="仿宋_GB2312"/>
          <w:kern w:val="2"/>
          <w:sz w:val="32"/>
          <w:szCs w:val="32"/>
        </w:rPr>
        <w:t>229号</w:t>
      </w:r>
      <w:r>
        <w:rPr>
          <w:rFonts w:hint="eastAsia" w:hAnsi="仿宋_GB2312" w:cs="仿宋_GB2312"/>
          <w:kern w:val="2"/>
          <w:sz w:val="32"/>
          <w:szCs w:val="32"/>
          <w:lang w:val="zh-CN"/>
        </w:rPr>
        <w:t>）、《</w:t>
      </w:r>
      <w:r>
        <w:rPr>
          <w:rFonts w:hint="eastAsia" w:hAnsi="仿宋_GB2312" w:cs="仿宋_GB2312"/>
          <w:kern w:val="2"/>
          <w:sz w:val="32"/>
          <w:szCs w:val="32"/>
        </w:rPr>
        <w:t>广元市财政局</w:t>
      </w:r>
      <w:r>
        <w:rPr>
          <w:rFonts w:hint="eastAsia" w:hAnsi="仿宋_GB2312" w:cs="仿宋_GB2312"/>
          <w:kern w:val="2"/>
          <w:sz w:val="32"/>
          <w:szCs w:val="32"/>
          <w:lang w:val="zh-CN"/>
        </w:rPr>
        <w:t>关于下达基金</w:t>
      </w:r>
      <w:r>
        <w:rPr>
          <w:rFonts w:hint="eastAsia" w:hAnsi="仿宋_GB2312" w:cs="仿宋_GB2312"/>
          <w:kern w:val="2"/>
          <w:sz w:val="32"/>
          <w:szCs w:val="32"/>
        </w:rPr>
        <w:t>指标的通知</w:t>
      </w:r>
      <w:r>
        <w:rPr>
          <w:rFonts w:hint="eastAsia" w:hAnsi="仿宋_GB2312" w:cs="仿宋_GB2312"/>
          <w:kern w:val="2"/>
          <w:sz w:val="32"/>
          <w:szCs w:val="32"/>
          <w:lang w:val="zh-CN"/>
        </w:rPr>
        <w:t>》（广财投〔</w:t>
      </w:r>
      <w:r>
        <w:rPr>
          <w:rFonts w:hint="eastAsia" w:hAnsi="仿宋_GB2312" w:cs="仿宋_GB2312"/>
          <w:kern w:val="2"/>
          <w:sz w:val="32"/>
          <w:szCs w:val="32"/>
        </w:rPr>
        <w:t>2022</w:t>
      </w:r>
      <w:r>
        <w:rPr>
          <w:rFonts w:hint="eastAsia" w:hAnsi="仿宋_GB2312" w:cs="仿宋_GB2312"/>
          <w:kern w:val="2"/>
          <w:sz w:val="32"/>
          <w:szCs w:val="32"/>
          <w:lang w:val="zh-CN"/>
        </w:rPr>
        <w:t>〕</w:t>
      </w:r>
      <w:r>
        <w:rPr>
          <w:rFonts w:hint="eastAsia" w:hAnsi="仿宋_GB2312" w:cs="仿宋_GB2312"/>
          <w:kern w:val="2"/>
          <w:sz w:val="32"/>
          <w:szCs w:val="32"/>
        </w:rPr>
        <w:t>5号</w:t>
      </w:r>
      <w:r>
        <w:rPr>
          <w:rFonts w:hint="eastAsia" w:hAnsi="仿宋_GB2312" w:cs="仿宋_GB2312"/>
          <w:kern w:val="2"/>
          <w:sz w:val="32"/>
          <w:szCs w:val="32"/>
          <w:lang w:val="zh-CN"/>
        </w:rPr>
        <w:t>）</w:t>
      </w:r>
      <w:r>
        <w:rPr>
          <w:rFonts w:hint="eastAsia" w:hAnsi="仿宋_GB2312" w:cs="仿宋_GB2312"/>
          <w:kern w:val="2"/>
          <w:sz w:val="32"/>
          <w:szCs w:val="32"/>
        </w:rPr>
        <w:t>,</w:t>
      </w:r>
      <w:r>
        <w:rPr>
          <w:rFonts w:hint="eastAsia" w:hAnsi="仿宋_GB2312" w:cs="仿宋_GB2312"/>
          <w:kern w:val="2"/>
          <w:sz w:val="32"/>
          <w:szCs w:val="32"/>
          <w:lang w:val="zh-CN"/>
        </w:rPr>
        <w:t>安排2022年城区公园广场春节氛围营造启动资金共计</w:t>
      </w:r>
      <w:r>
        <w:rPr>
          <w:rFonts w:hint="eastAsia" w:hAnsi="仿宋_GB2312" w:cs="仿宋_GB2312"/>
          <w:kern w:val="2"/>
          <w:sz w:val="32"/>
          <w:szCs w:val="32"/>
        </w:rPr>
        <w:t>32万元。项目竣工后，我司根据项目结算审计81.2472万元申报余下资金49.2472万元。2023年1月16日，财政局下达了</w:t>
      </w:r>
      <w:r>
        <w:rPr>
          <w:rFonts w:hint="eastAsia" w:hAnsi="仿宋_GB2312" w:cs="仿宋_GB2312"/>
          <w:kern w:val="2"/>
          <w:sz w:val="32"/>
          <w:szCs w:val="32"/>
          <w:lang w:val="zh-CN"/>
        </w:rPr>
        <w:t>《</w:t>
      </w:r>
      <w:r>
        <w:rPr>
          <w:rFonts w:hint="eastAsia" w:hAnsi="仿宋_GB2312" w:cs="仿宋_GB2312"/>
          <w:kern w:val="2"/>
          <w:sz w:val="32"/>
          <w:szCs w:val="32"/>
        </w:rPr>
        <w:t>广元市财政局</w:t>
      </w:r>
      <w:r>
        <w:rPr>
          <w:rFonts w:hint="eastAsia" w:hAnsi="仿宋_GB2312" w:cs="仿宋_GB2312"/>
          <w:kern w:val="2"/>
          <w:sz w:val="32"/>
          <w:szCs w:val="32"/>
          <w:lang w:val="zh-CN"/>
        </w:rPr>
        <w:t>关于下达基金</w:t>
      </w:r>
      <w:r>
        <w:rPr>
          <w:rFonts w:hint="eastAsia" w:hAnsi="仿宋_GB2312" w:cs="仿宋_GB2312"/>
          <w:kern w:val="2"/>
          <w:sz w:val="32"/>
          <w:szCs w:val="32"/>
        </w:rPr>
        <w:t>指标的通知</w:t>
      </w:r>
      <w:r>
        <w:rPr>
          <w:rFonts w:hint="eastAsia" w:hAnsi="仿宋_GB2312" w:cs="仿宋_GB2312"/>
          <w:kern w:val="2"/>
          <w:sz w:val="32"/>
          <w:szCs w:val="32"/>
          <w:lang w:val="zh-CN"/>
        </w:rPr>
        <w:t>》（广财投〔</w:t>
      </w:r>
      <w:r>
        <w:rPr>
          <w:rFonts w:hint="eastAsia" w:hAnsi="仿宋_GB2312" w:cs="仿宋_GB2312"/>
          <w:kern w:val="2"/>
          <w:sz w:val="32"/>
          <w:szCs w:val="32"/>
        </w:rPr>
        <w:t>2022</w:t>
      </w:r>
      <w:r>
        <w:rPr>
          <w:rFonts w:hint="eastAsia" w:hAnsi="仿宋_GB2312" w:cs="仿宋_GB2312"/>
          <w:kern w:val="2"/>
          <w:sz w:val="32"/>
          <w:szCs w:val="32"/>
          <w:lang w:val="zh-CN"/>
        </w:rPr>
        <w:t>〕</w:t>
      </w:r>
      <w:r>
        <w:rPr>
          <w:rFonts w:hint="eastAsia" w:hAnsi="仿宋_GB2312" w:cs="仿宋_GB2312"/>
          <w:kern w:val="2"/>
          <w:sz w:val="32"/>
          <w:szCs w:val="32"/>
        </w:rPr>
        <w:t>172号</w:t>
      </w:r>
      <w:r>
        <w:rPr>
          <w:rFonts w:hint="eastAsia" w:hAnsi="仿宋_GB2312" w:cs="仿宋_GB2312"/>
          <w:kern w:val="2"/>
          <w:sz w:val="32"/>
          <w:szCs w:val="32"/>
          <w:lang w:val="zh-CN"/>
        </w:rPr>
        <w:t>）安排余下补助资金</w:t>
      </w:r>
      <w:r>
        <w:rPr>
          <w:rFonts w:hint="eastAsia" w:hAnsi="仿宋_GB2312" w:cs="仿宋_GB2312"/>
          <w:kern w:val="2"/>
          <w:sz w:val="32"/>
          <w:szCs w:val="32"/>
        </w:rPr>
        <w:t>25.0249万元。</w:t>
      </w:r>
    </w:p>
    <w:p>
      <w:pPr>
        <w:pStyle w:val="44"/>
        <w:spacing w:line="576" w:lineRule="exact"/>
        <w:ind w:firstLineChars="0"/>
        <w:rPr>
          <w:rFonts w:hAnsi="仿宋_GB2312" w:cs="仿宋_GB2312"/>
          <w:b w:val="0"/>
          <w:color w:val="auto"/>
          <w:kern w:val="0"/>
          <w:sz w:val="32"/>
          <w:szCs w:val="32"/>
          <w:shd w:val="clear" w:color="auto" w:fill="FFFFFF"/>
          <w:lang w:val="zh-CN"/>
        </w:rPr>
      </w:pPr>
      <w:r>
        <w:rPr>
          <w:rFonts w:hint="eastAsia" w:hAnsi="仿宋_GB2312" w:cs="仿宋_GB2312"/>
          <w:b w:val="0"/>
          <w:color w:val="auto"/>
          <w:kern w:val="0"/>
          <w:sz w:val="32"/>
          <w:szCs w:val="32"/>
          <w:shd w:val="clear" w:color="auto" w:fill="FFFFFF"/>
          <w:lang w:val="zh-CN"/>
        </w:rPr>
        <w:t>项目资金的分配始终坚持一个原则：全力保证</w:t>
      </w:r>
      <w:r>
        <w:rPr>
          <w:rFonts w:hint="eastAsia" w:hAnsi="仿宋_GB2312" w:cs="仿宋_GB2312"/>
          <w:b w:val="0"/>
          <w:color w:val="auto"/>
          <w:kern w:val="0"/>
          <w:sz w:val="32"/>
          <w:szCs w:val="32"/>
          <w:shd w:val="clear" w:color="auto" w:fill="FFFFFF"/>
        </w:rPr>
        <w:t>春节氛围营造</w:t>
      </w:r>
      <w:r>
        <w:rPr>
          <w:rFonts w:hint="eastAsia" w:hAnsi="仿宋_GB2312" w:cs="仿宋_GB2312"/>
          <w:b w:val="0"/>
          <w:color w:val="auto"/>
          <w:kern w:val="0"/>
          <w:sz w:val="32"/>
          <w:szCs w:val="32"/>
          <w:shd w:val="clear" w:color="auto" w:fill="FFFFFF"/>
          <w:lang w:val="zh-CN"/>
        </w:rPr>
        <w:t>顺利推进，确保资金公平合理地分配到项目建设的各个环节，提升项目质量和资金使用效益，实现资金落到实处，强化执行过程监督。</w:t>
      </w:r>
    </w:p>
    <w:p>
      <w:pPr>
        <w:pStyle w:val="44"/>
        <w:spacing w:line="576" w:lineRule="exact"/>
        <w:ind w:firstLineChars="0"/>
        <w:rPr>
          <w:rFonts w:hAnsi="仿宋_GB2312" w:cs="仿宋_GB2312"/>
          <w:b w:val="0"/>
          <w:color w:val="auto"/>
          <w:kern w:val="0"/>
          <w:sz w:val="32"/>
          <w:szCs w:val="32"/>
          <w:shd w:val="clear" w:color="auto" w:fill="FFFFFF"/>
          <w:lang w:val="zh-CN"/>
        </w:rPr>
      </w:pPr>
      <w:r>
        <w:rPr>
          <w:rFonts w:hint="eastAsia" w:ascii="楷体_GB2312" w:hAnsi="宋体" w:eastAsia="楷体_GB2312"/>
          <w:b w:val="0"/>
          <w:szCs w:val="32"/>
          <w:lang w:val="zh-CN"/>
        </w:rPr>
        <w:t>（四）项目绩效目标设置</w:t>
      </w:r>
    </w:p>
    <w:p>
      <w:pPr>
        <w:adjustRightInd w:val="0"/>
        <w:snapToGrid w:val="0"/>
        <w:spacing w:line="578" w:lineRule="exact"/>
        <w:ind w:firstLine="640" w:firstLineChars="200"/>
        <w:rPr>
          <w:rFonts w:ascii="仿宋_GB2312" w:hAnsi="仿宋_GB2312" w:cs="仿宋_GB2312"/>
        </w:rPr>
      </w:pPr>
      <w:r>
        <w:rPr>
          <w:rFonts w:hint="eastAsia" w:ascii="仿宋_GB2312" w:hAnsi="仿宋_GB2312" w:cs="仿宋_GB2312"/>
          <w:bCs/>
          <w:szCs w:val="32"/>
        </w:rPr>
        <w:t>1.</w:t>
      </w:r>
      <w:r>
        <w:rPr>
          <w:rFonts w:hint="eastAsia" w:ascii="仿宋_GB2312" w:hAnsi="仿宋_GB2312" w:cs="仿宋_GB2312"/>
          <w:bCs/>
          <w:szCs w:val="32"/>
          <w:lang w:val="zh-CN"/>
        </w:rPr>
        <w:t>绩效目标设置情况。</w:t>
      </w:r>
      <w:r>
        <w:rPr>
          <w:rFonts w:hint="eastAsia" w:ascii="仿宋_GB2312" w:hAnsi="仿宋_GB2312" w:cs="仿宋_GB2312"/>
          <w:szCs w:val="32"/>
        </w:rPr>
        <w:t>项目绩效目标设置量化可考核，与部门的长期规划目标、年度工作目标相一致，绩效指标可细化、量化，绩效目标和绩效指标契合政策和项目实质，产出和效果相关联，对满意度指标进行了量化预测，绩效目标具有一定前瞻性和挑战性，绩效目标和绩效指标匹配，绩效指标设计全面完整。</w:t>
      </w:r>
    </w:p>
    <w:p>
      <w:pPr>
        <w:adjustRightInd w:val="0"/>
        <w:snapToGrid w:val="0"/>
        <w:spacing w:line="578" w:lineRule="exact"/>
        <w:ind w:firstLine="640" w:firstLineChars="200"/>
        <w:rPr>
          <w:rFonts w:ascii="黑体" w:hAnsi="宋体" w:eastAsia="黑体"/>
        </w:rPr>
      </w:pPr>
      <w:r>
        <w:rPr>
          <w:rFonts w:hint="eastAsia" w:ascii="仿宋_GB2312" w:hAnsi="仿宋_GB2312" w:cs="仿宋_GB2312"/>
          <w:bCs/>
          <w:szCs w:val="32"/>
        </w:rPr>
        <w:t>2.</w:t>
      </w:r>
      <w:r>
        <w:rPr>
          <w:rFonts w:hint="eastAsia" w:ascii="仿宋_GB2312" w:hAnsi="仿宋_GB2312" w:cs="仿宋_GB2312"/>
          <w:bCs/>
          <w:szCs w:val="32"/>
          <w:lang w:val="zh-CN"/>
        </w:rPr>
        <w:t>项目自评工作开展情况。</w:t>
      </w:r>
      <w:r>
        <w:rPr>
          <w:rFonts w:hint="eastAsia" w:ascii="仿宋_GB2312" w:hAnsi="仿宋_GB2312" w:cs="仿宋_GB2312"/>
          <w:szCs w:val="32"/>
        </w:rPr>
        <w:t>单位</w:t>
      </w:r>
      <w:r>
        <w:rPr>
          <w:rFonts w:hint="eastAsia" w:ascii="仿宋_GB2312" w:hAnsi="仿宋_GB2312" w:cs="仿宋_GB2312"/>
          <w:szCs w:val="32"/>
          <w:lang w:val="en"/>
        </w:rPr>
        <w:t>根据项目合同书或验收要求，建立自评指标和标准；然后对照指标和标准，组织相关人员对项目实施的过程及提交的成果，按照各个指标和标准进行了自评。</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rPr>
          <w:rFonts w:ascii="楷体_GB2312" w:hAnsi="宋体" w:eastAsia="楷体_GB2312"/>
          <w:bCs/>
          <w:lang w:val="zh-CN"/>
        </w:rPr>
      </w:pPr>
      <w:r>
        <w:rPr>
          <w:rFonts w:hint="eastAsia" w:ascii="楷体_GB2312" w:hAnsi="宋体" w:eastAsia="楷体_GB2312"/>
          <w:bCs/>
          <w:szCs w:val="32"/>
          <w:lang w:val="zh-CN"/>
        </w:rPr>
        <w:t>（一）评价目的</w:t>
      </w:r>
    </w:p>
    <w:p>
      <w:pPr>
        <w:spacing w:line="578" w:lineRule="exact"/>
        <w:ind w:firstLine="640"/>
        <w:rPr>
          <w:bCs/>
        </w:rPr>
      </w:pPr>
      <w:r>
        <w:rPr>
          <w:bCs/>
          <w:szCs w:val="32"/>
        </w:rPr>
        <w:t>通过</w:t>
      </w:r>
      <w:r>
        <w:rPr>
          <w:rFonts w:hint="eastAsia"/>
          <w:bCs/>
          <w:szCs w:val="32"/>
        </w:rPr>
        <w:t>项目绩效自评来核查此项目是否达到预期目标，从而完善内部管理流程，强化预算支出的责任和效率。</w:t>
      </w:r>
    </w:p>
    <w:p>
      <w:pPr>
        <w:spacing w:line="578" w:lineRule="exact"/>
        <w:ind w:firstLine="640"/>
        <w:rPr>
          <w:bCs/>
        </w:rPr>
      </w:pPr>
      <w:r>
        <w:rPr>
          <w:rFonts w:hint="eastAsia" w:ascii="楷体_GB2312" w:hAnsi="宋体" w:eastAsia="楷体_GB2312"/>
          <w:bCs/>
          <w:szCs w:val="32"/>
          <w:lang w:val="zh-CN"/>
        </w:rPr>
        <w:t>（二）预设问题及评价重点。</w:t>
      </w:r>
      <w:r>
        <w:rPr>
          <w:rFonts w:hint="eastAsia"/>
          <w:bCs/>
          <w:szCs w:val="32"/>
          <w:lang w:val="zh-CN"/>
        </w:rPr>
        <w:t>根据项目实际情况，</w:t>
      </w:r>
      <w:r>
        <w:rPr>
          <w:rFonts w:hint="eastAsia"/>
          <w:bCs/>
          <w:szCs w:val="32"/>
        </w:rPr>
        <w:t>将指标评价体系中的项目管理作为评价重点；将资金使用拨付、项目实施是否符合规定作为预设问题。</w:t>
      </w:r>
    </w:p>
    <w:p>
      <w:pPr>
        <w:adjustRightInd w:val="0"/>
        <w:snapToGrid w:val="0"/>
        <w:spacing w:line="578" w:lineRule="exact"/>
        <w:ind w:firstLine="640" w:firstLineChars="200"/>
        <w:rPr>
          <w:bCs/>
          <w:lang w:val="zh-CN"/>
        </w:rPr>
      </w:pPr>
      <w:r>
        <w:rPr>
          <w:rFonts w:hint="eastAsia" w:ascii="楷体_GB2312" w:hAnsi="宋体" w:eastAsia="楷体_GB2312"/>
          <w:bCs/>
          <w:szCs w:val="32"/>
          <w:lang w:val="zh-CN"/>
        </w:rPr>
        <w:t>（三）评价选点。</w:t>
      </w:r>
      <w:r>
        <w:rPr>
          <w:rFonts w:hint="eastAsia" w:ascii="仿宋_GB2312" w:hAnsi="仿宋_GB2312" w:cs="仿宋_GB2312"/>
          <w:bCs/>
          <w:szCs w:val="32"/>
          <w:lang w:val="zh-CN"/>
        </w:rPr>
        <w:t>主要对资金使用情况进行抽查。</w:t>
      </w:r>
    </w:p>
    <w:p>
      <w:pPr>
        <w:spacing w:line="578" w:lineRule="exact"/>
        <w:ind w:firstLine="640"/>
        <w:rPr>
          <w:bCs/>
        </w:rPr>
      </w:pPr>
      <w:r>
        <w:rPr>
          <w:rFonts w:hint="eastAsia" w:ascii="楷体_GB2312" w:hAnsi="宋体" w:eastAsia="楷体_GB2312"/>
          <w:bCs/>
          <w:szCs w:val="32"/>
          <w:lang w:val="zh-CN"/>
        </w:rPr>
        <w:t>（四）评价方法。</w:t>
      </w:r>
      <w:r>
        <w:rPr>
          <w:rFonts w:hint="eastAsia"/>
          <w:bCs/>
          <w:szCs w:val="32"/>
          <w:lang w:val="zh-CN"/>
        </w:rPr>
        <w:t>采用</w:t>
      </w:r>
      <w:r>
        <w:rPr>
          <w:bCs/>
          <w:szCs w:val="32"/>
        </w:rPr>
        <w:t>单位自评法</w:t>
      </w:r>
      <w:r>
        <w:rPr>
          <w:rFonts w:hint="eastAsia"/>
          <w:bCs/>
          <w:szCs w:val="32"/>
        </w:rPr>
        <w:t>。</w:t>
      </w:r>
    </w:p>
    <w:p>
      <w:pPr>
        <w:spacing w:line="578" w:lineRule="exact"/>
        <w:ind w:firstLine="640"/>
        <w:rPr>
          <w:bCs/>
        </w:rPr>
      </w:pPr>
      <w:r>
        <w:rPr>
          <w:rFonts w:hint="eastAsia" w:ascii="楷体_GB2312" w:hAnsi="宋体" w:eastAsia="楷体_GB2312"/>
          <w:bCs/>
          <w:szCs w:val="32"/>
          <w:lang w:val="zh-CN"/>
        </w:rPr>
        <w:t>（五）评价组织。</w:t>
      </w:r>
      <w:r>
        <w:rPr>
          <w:rFonts w:hint="eastAsia" w:ascii="仿宋_GB2312" w:hAnsi="仿宋_GB2312" w:cs="仿宋_GB2312"/>
          <w:szCs w:val="32"/>
          <w:lang w:val="zh-CN"/>
        </w:rPr>
        <w:t>组建项目</w:t>
      </w:r>
      <w:r>
        <w:rPr>
          <w:rFonts w:hint="eastAsia" w:ascii="仿宋_GB2312" w:hAnsi="仿宋_GB2312" w:cs="仿宋_GB2312"/>
          <w:szCs w:val="32"/>
        </w:rPr>
        <w:t>评价小组，单位负责人为组长，负责自评全面工作；分管领导为副组长，负责安排实施各板块工作、相关部门负责人为成员，负责评价具体工作。</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宋体" w:eastAsia="楷体_GB2312"/>
          <w:bCs/>
        </w:rPr>
      </w:pPr>
      <w:r>
        <w:rPr>
          <w:rFonts w:hint="eastAsia" w:ascii="楷体_GB2312" w:hAnsi="宋体" w:eastAsia="楷体_GB2312"/>
          <w:bCs/>
          <w:szCs w:val="32"/>
          <w:lang w:val="zh-CN"/>
        </w:rPr>
        <w:t>（一）</w:t>
      </w:r>
      <w:r>
        <w:rPr>
          <w:rFonts w:hint="eastAsia" w:ascii="楷体_GB2312" w:hAnsi="宋体" w:eastAsia="楷体_GB2312"/>
          <w:bCs/>
          <w:szCs w:val="32"/>
        </w:rPr>
        <w:t>通用指标</w:t>
      </w:r>
      <w:r>
        <w:rPr>
          <w:rFonts w:ascii="楷体_GB2312" w:hAnsi="宋体" w:eastAsia="楷体_GB2312"/>
          <w:bCs/>
          <w:szCs w:val="32"/>
          <w:lang w:val="zh-CN"/>
        </w:rPr>
        <w:t>绩效分析。</w:t>
      </w:r>
    </w:p>
    <w:p>
      <w:pPr>
        <w:spacing w:line="578" w:lineRule="exact"/>
        <w:ind w:firstLine="640"/>
        <w:rPr>
          <w:rFonts w:ascii="仿宋_GB2312" w:hAnsi="仿宋_GB2312" w:cs="仿宋_GB2312"/>
        </w:rPr>
      </w:pPr>
      <w:r>
        <w:rPr>
          <w:rFonts w:hint="eastAsia" w:ascii="仿宋_GB2312" w:hAnsi="仿宋_GB2312" w:cs="仿宋_GB2312"/>
          <w:bCs/>
          <w:szCs w:val="32"/>
        </w:rPr>
        <w:t>1.项目决策。项目设立、调整延续等方面符合资金管理基本规范和决策程序要求；</w:t>
      </w:r>
      <w:r>
        <w:rPr>
          <w:rFonts w:hint="eastAsia" w:ascii="仿宋_GB2312" w:hAnsi="仿宋_GB2312" w:cs="仿宋_GB2312"/>
          <w:szCs w:val="32"/>
        </w:rPr>
        <w:t>项目规划符合党中央国务院、省委省政府、市委市政府有关决策部署安排，项目资金与项目总体规划、相关行业事业发展相匹配。绩效目标科学合理、规范完整、量化细化、与预算匹配。自评得分18分。</w:t>
      </w:r>
    </w:p>
    <w:p>
      <w:pPr>
        <w:spacing w:line="578" w:lineRule="exact"/>
        <w:ind w:firstLine="640"/>
      </w:pPr>
      <w:r>
        <w:rPr>
          <w:rFonts w:hint="eastAsia" w:ascii="仿宋" w:hAnsi="仿宋" w:eastAsia="仿宋" w:cs="仿宋"/>
          <w:szCs w:val="32"/>
        </w:rPr>
        <w:t>2.项目管理。严格按照《广元市政府国有企业阳光采购监督管理暂行办法》，</w:t>
      </w:r>
      <w:r>
        <w:rPr>
          <w:rFonts w:hint="eastAsia" w:ascii="仿宋_GB2312" w:hAnsi="仿宋_GB2312" w:cs="仿宋_GB2312"/>
          <w:kern w:val="0"/>
          <w:szCs w:val="32"/>
          <w:shd w:val="clear" w:color="auto" w:fill="FFFFFF"/>
        </w:rPr>
        <w:t>参照广元市文化旅游投资集团有限公司《阳光采购管理暂行办法》及《文旅集团及子公司三会行权轨迹清单》，并结合《广元文旅城市管理服务有限公司规章制度》执行。</w:t>
      </w:r>
      <w:r>
        <w:rPr>
          <w:rFonts w:hint="eastAsia" w:ascii="仿宋_GB2312" w:hAnsi="仿宋_GB2312" w:cs="仿宋_GB2312"/>
          <w:szCs w:val="32"/>
        </w:rPr>
        <w:t>项目资金分配合理，项目管理、审批符合管理要求；项目绩效监管均按要求开展。自评得分18分。</w:t>
      </w:r>
    </w:p>
    <w:p>
      <w:pPr>
        <w:spacing w:line="576" w:lineRule="exact"/>
        <w:ind w:firstLine="640" w:firstLineChars="200"/>
        <w:jc w:val="left"/>
        <w:rPr>
          <w:rFonts w:ascii="楷体_GB2312" w:hAnsi="楷体_GB2312" w:eastAsia="楷体_GB2312" w:cs="楷体_GB2312"/>
        </w:rPr>
      </w:pPr>
      <w:r>
        <w:rPr>
          <w:rFonts w:hint="eastAsia" w:ascii="楷体_GB2312" w:hAnsi="楷体_GB2312" w:eastAsia="楷体_GB2312" w:cs="楷体_GB2312"/>
          <w:szCs w:val="32"/>
        </w:rPr>
        <w:t>3.项目实施。</w:t>
      </w:r>
    </w:p>
    <w:p>
      <w:pPr>
        <w:pStyle w:val="2"/>
        <w:adjustRightInd w:val="0"/>
        <w:snapToGrid w:val="0"/>
        <w:spacing w:before="93" w:line="576" w:lineRule="exact"/>
        <w:ind w:firstLine="640" w:firstLineChars="200"/>
        <w:rPr>
          <w:rFonts w:hAnsi="仿宋_GB2312" w:cs="仿宋_GB2312"/>
          <w:kern w:val="2"/>
          <w:sz w:val="32"/>
          <w:szCs w:val="32"/>
        </w:rPr>
      </w:pPr>
      <w:r>
        <w:rPr>
          <w:rFonts w:hint="eastAsia" w:hAnsi="仿宋_GB2312" w:cs="仿宋_GB2312"/>
          <w:kern w:val="2"/>
          <w:sz w:val="32"/>
          <w:szCs w:val="32"/>
        </w:rPr>
        <w:t>（1）湿地公园春节氛围营造。一是公园入口设计安装主题造型2组；二是公园重点区域安装夜间景观造型，使用流星雨800余根和满天星800余串；三是主要廊道和景观建筑悬挂灯笼1000余个和绒布小灯笼50余包。</w:t>
      </w:r>
    </w:p>
    <w:p>
      <w:pPr>
        <w:pStyle w:val="2"/>
        <w:adjustRightInd w:val="0"/>
        <w:snapToGrid w:val="0"/>
        <w:spacing w:before="93" w:line="576" w:lineRule="exact"/>
        <w:ind w:firstLine="640" w:firstLineChars="200"/>
        <w:rPr>
          <w:rFonts w:hAnsi="仿宋_GB2312" w:cs="仿宋_GB2312"/>
          <w:kern w:val="2"/>
          <w:sz w:val="32"/>
          <w:szCs w:val="32"/>
        </w:rPr>
      </w:pPr>
      <w:r>
        <w:rPr>
          <w:rFonts w:hint="eastAsia" w:hAnsi="仿宋_GB2312" w:cs="仿宋_GB2312"/>
          <w:kern w:val="2"/>
          <w:sz w:val="32"/>
          <w:szCs w:val="32"/>
        </w:rPr>
        <w:t>（2）凤凰山公春节氛围营造。一是园内西入口设计安装主题造型1组；二是落实凤凰楼、宿风亭和西入口亮化景观；三是北入口设置灯笼走廊，冬瓜灯笼800余个；四是公园重点区域安装夜间景观造型，使用灯带LED灯带500余米、流星雨800余根和满天星800余串；五是公园主要道路安装彩旗100余面，六是公园景观建筑悬挂灯笼，包括 80#灯笼80余个、120#灯笼10余个和绒布小灯笼50余包。</w:t>
      </w:r>
    </w:p>
    <w:p>
      <w:pPr>
        <w:pStyle w:val="2"/>
        <w:adjustRightInd w:val="0"/>
        <w:snapToGrid w:val="0"/>
        <w:spacing w:before="93" w:line="576" w:lineRule="exact"/>
        <w:ind w:firstLine="640" w:firstLineChars="200"/>
        <w:rPr>
          <w:rFonts w:hAnsi="仿宋_GB2312" w:cs="仿宋_GB2312"/>
          <w:kern w:val="2"/>
          <w:sz w:val="32"/>
          <w:szCs w:val="32"/>
        </w:rPr>
      </w:pPr>
      <w:r>
        <w:rPr>
          <w:rFonts w:hint="eastAsia" w:hAnsi="仿宋_GB2312" w:cs="仿宋_GB2312"/>
          <w:kern w:val="2"/>
          <w:sz w:val="32"/>
          <w:szCs w:val="32"/>
        </w:rPr>
        <w:t>（3）红星公园春节氛围营造。一是公园入口设计安装主题造型1组；二是公园广场安装特大灯笼、流星雨400余根和满天星400余串；三是观影广场设置彩旗200余面；四是上山步道悬挂冬瓜灯笼800个；五是公园主路道路悬挂灯笼500余个和中国结200余个；六是保障红星塔亮灯。</w:t>
      </w:r>
    </w:p>
    <w:p>
      <w:pPr>
        <w:pStyle w:val="2"/>
        <w:adjustRightInd w:val="0"/>
        <w:snapToGrid w:val="0"/>
        <w:spacing w:before="93" w:line="576" w:lineRule="exact"/>
        <w:ind w:firstLine="640" w:firstLineChars="200"/>
        <w:rPr>
          <w:rFonts w:hAnsi="仿宋_GB2312" w:cs="仿宋_GB2312"/>
          <w:kern w:val="2"/>
          <w:sz w:val="32"/>
          <w:szCs w:val="32"/>
        </w:rPr>
      </w:pPr>
      <w:r>
        <w:rPr>
          <w:rFonts w:hint="eastAsia" w:hAnsi="仿宋_GB2312" w:cs="仿宋_GB2312"/>
          <w:kern w:val="2"/>
          <w:sz w:val="32"/>
          <w:szCs w:val="32"/>
        </w:rPr>
        <w:t>（4）4.利州广场春节氛围营造。一是设计安装主题造型1组；二是广场安装夜间景观造型灯带100余米、流星雨灯管600余根和满天星灯串400余串；三是广场周边悬挂灯笼，使用80#灯笼450余个，小灯笼50包和藤球灯1600余个。</w:t>
      </w:r>
    </w:p>
    <w:p>
      <w:pPr>
        <w:pStyle w:val="2"/>
        <w:adjustRightInd w:val="0"/>
        <w:snapToGrid w:val="0"/>
        <w:spacing w:before="93" w:line="576" w:lineRule="exact"/>
        <w:ind w:firstLine="640" w:firstLineChars="200"/>
        <w:rPr>
          <w:rFonts w:hAnsi="仿宋_GB2312" w:cs="仿宋_GB2312"/>
          <w:kern w:val="2"/>
          <w:sz w:val="32"/>
          <w:szCs w:val="32"/>
        </w:rPr>
      </w:pPr>
      <w:r>
        <w:rPr>
          <w:rFonts w:hint="eastAsia" w:hAnsi="仿宋_GB2312" w:cs="仿宋_GB2312"/>
          <w:kern w:val="2"/>
          <w:sz w:val="32"/>
          <w:szCs w:val="32"/>
        </w:rPr>
        <w:t>（5）南河广场春节氛围营造。一是设计安装主题造型1组；二是广场安装夜间景观造型灯带100余米、流星雨灯管400余根和满天星灯串150余串；三是广场周边悬挂灯笼，使用80#灯笼500余个和冬瓜灯笼500余个。</w:t>
      </w:r>
    </w:p>
    <w:p>
      <w:pPr>
        <w:pStyle w:val="2"/>
        <w:adjustRightInd w:val="0"/>
        <w:snapToGrid w:val="0"/>
        <w:spacing w:before="93" w:line="576" w:lineRule="exact"/>
        <w:ind w:firstLine="640" w:firstLineChars="200"/>
        <w:rPr>
          <w:rFonts w:hAnsi="仿宋_GB2312" w:cs="仿宋_GB2312"/>
          <w:kern w:val="2"/>
          <w:sz w:val="32"/>
          <w:szCs w:val="32"/>
        </w:rPr>
      </w:pPr>
      <w:r>
        <w:rPr>
          <w:rFonts w:hint="eastAsia" w:hAnsi="仿宋_GB2312" w:cs="仿宋_GB2312"/>
          <w:kern w:val="2"/>
          <w:sz w:val="32"/>
          <w:szCs w:val="32"/>
        </w:rPr>
        <w:t>（6）嘉陵广场春节氛围营造。一是广场设计安装主题景观造型1组；二是广场安装夜间景观造型，使用流星雨灯管300余根和满天星灯串200余串；三是广场周边悬挂灯笼，使用80#灯笼约150个和冬瓜灯笼约150个。</w:t>
      </w:r>
    </w:p>
    <w:p>
      <w:pPr>
        <w:spacing w:line="576" w:lineRule="exact"/>
        <w:ind w:firstLine="640" w:firstLineChars="200"/>
        <w:rPr>
          <w:rFonts w:ascii="仿宋_GB2312" w:hAnsi="仿宋_GB2312" w:cs="仿宋_GB2312"/>
        </w:rPr>
      </w:pPr>
      <w:r>
        <w:rPr>
          <w:rFonts w:hint="eastAsia" w:ascii="仿宋_GB2312" w:hAnsi="仿宋_GB2312" w:cs="仿宋_GB2312"/>
          <w:szCs w:val="32"/>
        </w:rPr>
        <w:t>（7）苴国广场春节氛围营造。一是广场设计安装主题景观造型1组；二是广场安装夜间景观造型，使用LED灯带100余米和流星雨灯管400余根；三是广场周边悬挂灯笼，使用80#灯笼300余个和绒布灯笼10余包。</w:t>
      </w:r>
    </w:p>
    <w:p>
      <w:pPr>
        <w:pStyle w:val="13"/>
        <w:ind w:left="1280" w:hanging="640"/>
        <w:rPr>
          <w:lang w:val="zh-CN"/>
        </w:rPr>
      </w:pPr>
      <w:r>
        <w:rPr>
          <w:rFonts w:hint="eastAsia" w:ascii="仿宋_GB2312" w:hAnsi="仿宋_GB2312" w:cs="仿宋_GB2312"/>
        </w:rPr>
        <w:t>综上，自评得分9分。</w:t>
      </w:r>
    </w:p>
    <w:p>
      <w:pPr>
        <w:adjustRightInd w:val="0"/>
        <w:snapToGrid w:val="0"/>
        <w:spacing w:line="576" w:lineRule="exact"/>
        <w:ind w:firstLine="640" w:firstLineChars="200"/>
        <w:rPr>
          <w:rFonts w:ascii="仿宋_GB2312" w:hAnsi="仿宋_GB2312" w:cs="仿宋_GB2312"/>
        </w:rPr>
      </w:pPr>
      <w:r>
        <w:rPr>
          <w:rFonts w:hint="eastAsia" w:ascii="仿宋_GB2312" w:hAnsi="仿宋_GB2312" w:cs="仿宋_GB2312"/>
          <w:szCs w:val="32"/>
        </w:rPr>
        <w:t>4.项目结果。项目在计划内完成，且完成预期目标，实施结果与绩效目标相匹配。自评得分9分。</w:t>
      </w:r>
    </w:p>
    <w:p>
      <w:pPr>
        <w:spacing w:line="578" w:lineRule="exact"/>
        <w:ind w:firstLine="640" w:firstLineChars="200"/>
        <w:rPr>
          <w:rFonts w:ascii="楷体_GB2312" w:hAnsi="楷体_GB2312" w:eastAsia="楷体_GB2312" w:cs="楷体_GB2312"/>
          <w:bCs/>
          <w:lang w:val="zh-CN"/>
        </w:rPr>
      </w:pPr>
      <w:r>
        <w:rPr>
          <w:rFonts w:hint="eastAsia" w:ascii="楷体_GB2312" w:hAnsi="宋体" w:eastAsia="楷体_GB2312"/>
          <w:bCs/>
          <w:szCs w:val="32"/>
          <w:lang w:val="zh-CN"/>
        </w:rPr>
        <w:t>（二）</w:t>
      </w:r>
      <w:r>
        <w:rPr>
          <w:rFonts w:hint="eastAsia" w:ascii="楷体_GB2312" w:hAnsi="宋体" w:eastAsia="楷体_GB2312"/>
          <w:bCs/>
          <w:szCs w:val="32"/>
        </w:rPr>
        <w:t>专用指标</w:t>
      </w:r>
      <w:r>
        <w:rPr>
          <w:rFonts w:eastAsia="楷体_GB2312"/>
          <w:bCs/>
          <w:color w:val="000000"/>
          <w:kern w:val="0"/>
          <w:szCs w:val="32"/>
          <w:shd w:val="clear" w:color="auto" w:fill="FFFFFF"/>
          <w:lang w:val="zh-CN"/>
        </w:rPr>
        <w:t>绩效分析。</w:t>
      </w:r>
    </w:p>
    <w:p>
      <w:pPr>
        <w:adjustRightInd w:val="0"/>
        <w:snapToGrid w:val="0"/>
        <w:spacing w:line="576" w:lineRule="exact"/>
        <w:ind w:firstLine="640" w:firstLineChars="200"/>
        <w:rPr>
          <w:rFonts w:ascii="仿宋_GB2312" w:hAnsi="仿宋_GB2312" w:cs="仿宋_GB2312"/>
          <w:bCs/>
          <w:color w:val="000000" w:themeColor="text1"/>
          <w:szCs w:val="40"/>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民生保障方面,本项目</w:t>
      </w:r>
      <w:r>
        <w:rPr>
          <w:rFonts w:hint="eastAsia" w:ascii="仿宋_GB2312" w:hAnsi="仿宋_GB2312" w:cs="仿宋_GB2312"/>
          <w:bCs/>
          <w:kern w:val="0"/>
          <w:szCs w:val="32"/>
          <w:shd w:val="clear" w:color="auto" w:fill="FFFFFF"/>
        </w:rPr>
        <w:t>弘扬中国传统文化，营造喜庆祥和文明的节日气氛，让广大群众在欢乐、温馨、文明、和谐的环境中欢度春节，推动广元高质量发展、加快建设川陕甘结合部现代化中心城市凝聚强大精神力量。</w:t>
      </w:r>
      <w:r>
        <w:rPr>
          <w:rFonts w:hint="eastAsia" w:ascii="仿宋_GB2312" w:hAnsi="仿宋_GB2312" w:cs="仿宋_GB2312"/>
          <w:bCs/>
          <w:color w:val="000000" w:themeColor="text1"/>
          <w:szCs w:val="40"/>
          <w14:textFill>
            <w14:solidFill>
              <w14:schemeClr w14:val="tx1"/>
            </w14:solidFill>
          </w14:textFill>
        </w:rPr>
        <w:t>自评得分30分。</w:t>
      </w:r>
    </w:p>
    <w:p>
      <w:pPr>
        <w:spacing w:line="578" w:lineRule="exact"/>
        <w:ind w:firstLine="640"/>
      </w:pPr>
      <w:r>
        <w:rPr>
          <w:rFonts w:hint="eastAsia" w:ascii="楷体_GB2312" w:hAnsi="宋体" w:eastAsia="楷体_GB2312"/>
          <w:bCs/>
          <w:szCs w:val="32"/>
          <w:lang w:val="zh-CN"/>
        </w:rPr>
        <w:t>（三）</w:t>
      </w:r>
      <w:r>
        <w:rPr>
          <w:rFonts w:hint="eastAsia" w:ascii="楷体_GB2312" w:hAnsi="宋体" w:eastAsia="楷体_GB2312"/>
          <w:bCs/>
          <w:szCs w:val="32"/>
        </w:rPr>
        <w:t>个性指标</w:t>
      </w:r>
      <w:r>
        <w:rPr>
          <w:rFonts w:eastAsia="楷体_GB2312"/>
          <w:bCs/>
          <w:color w:val="000000"/>
          <w:kern w:val="0"/>
          <w:szCs w:val="32"/>
          <w:shd w:val="clear" w:color="auto" w:fill="FFFFFF"/>
          <w:lang w:val="zh-CN"/>
        </w:rPr>
        <w:t>绩效分析。</w:t>
      </w:r>
      <w:r>
        <w:rPr>
          <w:rFonts w:ascii="仿宋_GB2312" w:hAnsi="仿宋_GB2312" w:cs="仿宋_GB2312"/>
          <w:szCs w:val="32"/>
          <w:lang w:val="zh-CN"/>
        </w:rPr>
        <w:t>项目申报真实准确</w:t>
      </w:r>
      <w:r>
        <w:rPr>
          <w:rFonts w:hint="eastAsia" w:ascii="仿宋_GB2312" w:hAnsi="仿宋_GB2312" w:cs="仿宋_GB2312"/>
          <w:szCs w:val="32"/>
          <w:lang w:val="zh-CN"/>
        </w:rPr>
        <w:t>，项目资金支付使用情况合理合规。</w:t>
      </w:r>
      <w:r>
        <w:rPr>
          <w:rFonts w:hint="eastAsia" w:ascii="仿宋_GB2312" w:hAnsi="仿宋_GB2312" w:cs="仿宋_GB2312"/>
          <w:szCs w:val="32"/>
        </w:rPr>
        <w:t>自评得分16分。</w:t>
      </w:r>
    </w:p>
    <w:p>
      <w:pPr>
        <w:pStyle w:val="2"/>
        <w:spacing w:before="93" w:line="600" w:lineRule="exact"/>
        <w:ind w:firstLine="640" w:firstLineChars="200"/>
        <w:rPr>
          <w:rFonts w:ascii="黑体" w:hAnsi="宋体"/>
          <w:sz w:val="32"/>
          <w:szCs w:val="32"/>
        </w:rPr>
      </w:pPr>
      <w:r>
        <w:rPr>
          <w:rFonts w:hint="eastAsia" w:ascii="黑体" w:hAnsi="宋体" w:eastAsia="黑体"/>
          <w:sz w:val="32"/>
          <w:szCs w:val="32"/>
        </w:rPr>
        <w:t>四、评价结论</w:t>
      </w:r>
    </w:p>
    <w:p>
      <w:pPr>
        <w:pStyle w:val="2"/>
        <w:spacing w:before="93" w:line="600" w:lineRule="exact"/>
        <w:ind w:firstLine="640" w:firstLineChars="200"/>
        <w:rPr>
          <w:rFonts w:hAnsi="仿宋_GB2312" w:cs="仿宋_GB2312"/>
          <w:b/>
          <w:bCs/>
          <w:sz w:val="32"/>
          <w:szCs w:val="32"/>
        </w:rPr>
      </w:pPr>
      <w:r>
        <w:rPr>
          <w:rFonts w:hint="eastAsia" w:hAnsi="仿宋_GB2312" w:cs="仿宋_GB2312"/>
          <w:sz w:val="32"/>
          <w:szCs w:val="32"/>
        </w:rPr>
        <w:t>2022年城区公园广场春节氛围营造项目打造了干净整洁的城市环境，增强了居民群众的获得感、幸福感、安全感，举办了有温度、有年味、有特色的文化活动，营造了欢乐祥和、喜庆热烈、文明进步的节日氛围。经评价小组认真、系统评价，项目实施较好，自评得分100分。</w:t>
      </w:r>
    </w:p>
    <w:p>
      <w:pPr>
        <w:pStyle w:val="2"/>
        <w:spacing w:before="93" w:line="600" w:lineRule="exact"/>
        <w:ind w:firstLine="640" w:firstLineChars="200"/>
        <w:rPr>
          <w:rFonts w:ascii="黑体" w:hAnsi="宋体" w:eastAsia="黑体"/>
          <w:sz w:val="32"/>
          <w:szCs w:val="32"/>
        </w:rPr>
      </w:pPr>
      <w:r>
        <w:rPr>
          <w:rFonts w:hint="eastAsia" w:ascii="黑体" w:hAnsi="宋体" w:eastAsia="黑体"/>
          <w:sz w:val="32"/>
          <w:szCs w:val="32"/>
        </w:rPr>
        <w:t>五、存在主要问题</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专项预算项目绩效指标设置需加强。</w:t>
      </w:r>
    </w:p>
    <w:p>
      <w:pPr>
        <w:pStyle w:val="2"/>
        <w:spacing w:before="93" w:line="600" w:lineRule="exact"/>
        <w:ind w:firstLine="640" w:firstLineChars="200"/>
        <w:rPr>
          <w:rFonts w:ascii="黑体" w:hAnsi="宋体"/>
          <w:sz w:val="32"/>
          <w:szCs w:val="32"/>
          <w:lang w:val="zh-CN"/>
        </w:rPr>
      </w:pPr>
      <w:r>
        <w:rPr>
          <w:rFonts w:hint="eastAsia" w:ascii="黑体" w:hAnsi="宋体" w:eastAsia="黑体"/>
          <w:position w:val="3"/>
          <w:sz w:val="32"/>
          <w:szCs w:val="32"/>
          <w:lang w:val="zh-CN"/>
        </w:rPr>
        <w:t>六、改进建议</w:t>
      </w:r>
    </w:p>
    <w:p>
      <w:pPr>
        <w:tabs>
          <w:tab w:val="left" w:pos="1911"/>
        </w:tabs>
        <w:jc w:val="left"/>
        <w:rPr>
          <w:rFonts w:ascii="仿宋_GB2312" w:hAnsi="仿宋_GB2312" w:cs="仿宋_GB2312"/>
          <w:kern w:val="0"/>
          <w:lang w:val="en"/>
        </w:rPr>
      </w:pPr>
      <w:r>
        <w:rPr>
          <w:rFonts w:hint="eastAsia" w:ascii="仿宋_GB2312" w:hAnsi="仿宋_GB2312" w:cs="仿宋_GB2312"/>
          <w:kern w:val="0"/>
          <w:szCs w:val="32"/>
          <w:shd w:val="clear" w:color="auto" w:fill="FFFFFF"/>
          <w:lang w:val="zh-CN"/>
        </w:rPr>
        <w:t xml:space="preserve"> </w:t>
      </w:r>
      <w:r>
        <w:rPr>
          <w:rFonts w:hint="eastAsia" w:ascii="仿宋_GB2312" w:hAnsi="仿宋_GB2312" w:cs="仿宋_GB2312"/>
          <w:kern w:val="0"/>
          <w:szCs w:val="32"/>
        </w:rPr>
        <w:t xml:space="preserve">   </w:t>
      </w:r>
      <w:r>
        <w:rPr>
          <w:rFonts w:hint="eastAsia" w:ascii="仿宋_GB2312" w:hAnsi="仿宋_GB2312" w:cs="仿宋_GB2312"/>
          <w:szCs w:val="32"/>
        </w:rPr>
        <w:t>加强对申报项目的培训学习，使项目编制更加符合绩效评价相关要求，牢固树立绩效管理理念，同时进一步提高绩效评价工作方式、方法</w:t>
      </w:r>
    </w:p>
    <w:p>
      <w:pPr>
        <w:pStyle w:val="2"/>
        <w:spacing w:before="93" w:line="576" w:lineRule="exact"/>
        <w:rPr>
          <w:lang w:val="en"/>
        </w:rPr>
      </w:pPr>
    </w:p>
    <w:p>
      <w:pPr>
        <w:pStyle w:val="2"/>
        <w:spacing w:before="93" w:line="576" w:lineRule="exact"/>
        <w:rPr>
          <w:lang w:val="en"/>
        </w:rPr>
      </w:pPr>
    </w:p>
    <w:p>
      <w:pPr>
        <w:pStyle w:val="2"/>
        <w:spacing w:before="93" w:line="576" w:lineRule="exact"/>
      </w:pPr>
    </w:p>
    <w:p>
      <w:pPr>
        <w:pStyle w:val="38"/>
        <w:spacing w:line="578" w:lineRule="exact"/>
        <w:jc w:val="center"/>
        <w:rPr>
          <w:rFonts w:ascii="方正小标宋简体" w:hAnsi="方正小标宋_GBK" w:eastAsia="方正小标宋简体" w:cs="方正小标宋_GBK"/>
          <w:color w:val="000000" w:themeColor="text1"/>
          <w:kern w:val="2"/>
          <w:sz w:val="44"/>
          <w:szCs w:val="44"/>
          <w:lang w:val="en-US"/>
          <w14:textFill>
            <w14:solidFill>
              <w14:schemeClr w14:val="tx1"/>
            </w14:solidFill>
          </w14:textFill>
        </w:rPr>
      </w:pPr>
      <w:r>
        <w:rPr>
          <w:rFonts w:hint="eastAsia" w:ascii="方正小标宋简体" w:hAnsi="方正小标宋_GBK" w:eastAsia="方正小标宋简体" w:cs="方正小标宋_GBK"/>
          <w:color w:val="000000" w:themeColor="text1"/>
          <w:kern w:val="2"/>
          <w:sz w:val="44"/>
          <w:szCs w:val="44"/>
          <w:lang w:val="en-US"/>
          <w14:textFill>
            <w14:solidFill>
              <w14:schemeClr w14:val="tx1"/>
            </w14:solidFill>
          </w14:textFill>
        </w:rPr>
        <w:t>关于公园广场运行管理及栖凤湖清漂补助费用项目的绩效评价报告</w:t>
      </w:r>
    </w:p>
    <w:p>
      <w:pPr>
        <w:pStyle w:val="38"/>
        <w:spacing w:line="578" w:lineRule="exact"/>
        <w:ind w:firstLine="640"/>
        <w:jc w:val="center"/>
        <w:rPr>
          <w:rFonts w:ascii="宋体" w:hAnsi="宋体"/>
          <w:color w:val="auto"/>
          <w:kern w:val="2"/>
          <w:sz w:val="32"/>
          <w:szCs w:val="32"/>
          <w:lang w:val="en-US"/>
        </w:rPr>
      </w:pPr>
    </w:p>
    <w:p>
      <w:pPr>
        <w:adjustRightInd w:val="0"/>
        <w:snapToGrid w:val="0"/>
        <w:spacing w:line="576" w:lineRule="exact"/>
        <w:ind w:firstLine="640" w:firstLineChars="200"/>
        <w:rPr>
          <w:rFonts w:ascii="黑体" w:hAnsi="宋体" w:eastAsia="黑体"/>
          <w:color w:val="000000" w:themeColor="text1"/>
          <w:lang w:val="zh-CN"/>
          <w14:textFill>
            <w14:solidFill>
              <w14:schemeClr w14:val="tx1"/>
            </w14:solidFill>
          </w14:textFill>
        </w:rPr>
      </w:pPr>
      <w:r>
        <w:rPr>
          <w:rFonts w:hint="eastAsia" w:ascii="黑体" w:hAnsi="宋体" w:eastAsia="黑体"/>
          <w:color w:val="000000" w:themeColor="text1"/>
          <w14:textFill>
            <w14:solidFill>
              <w14:schemeClr w14:val="tx1"/>
            </w14:solidFill>
          </w14:textFill>
        </w:rPr>
        <w:t>一、</w:t>
      </w:r>
      <w:r>
        <w:rPr>
          <w:rFonts w:hint="eastAsia" w:ascii="黑体" w:hAnsi="宋体" w:eastAsia="黑体"/>
          <w:color w:val="000000" w:themeColor="text1"/>
          <w:lang w:val="zh-CN"/>
          <w14:textFill>
            <w14:solidFill>
              <w14:schemeClr w14:val="tx1"/>
            </w14:solidFill>
          </w14:textFill>
        </w:rPr>
        <w:t>项目概况</w:t>
      </w:r>
    </w:p>
    <w:p>
      <w:pPr>
        <w:snapToGrid w:val="0"/>
        <w:spacing w:line="576" w:lineRule="exact"/>
        <w:ind w:firstLine="640" w:firstLineChars="200"/>
        <w:rPr>
          <w:rFonts w:ascii="仿宋_GB2312" w:hAnsi="仿宋_GB2312" w:cs="仿宋_GB2312"/>
          <w:color w:val="000000" w:themeColor="text1"/>
          <w14:textFill>
            <w14:solidFill>
              <w14:schemeClr w14:val="tx1"/>
            </w14:solidFill>
          </w14:textFill>
        </w:rPr>
      </w:pPr>
      <w:r>
        <w:rPr>
          <w:rFonts w:hint="eastAsia" w:ascii="楷体_GB2312" w:hAnsi="宋体" w:eastAsia="楷体_GB2312"/>
          <w:color w:val="000000" w:themeColor="text1"/>
          <w:szCs w:val="32"/>
          <w:lang w:val="zh-CN"/>
          <w14:textFill>
            <w14:solidFill>
              <w14:schemeClr w14:val="tx1"/>
            </w14:solidFill>
          </w14:textFill>
        </w:rPr>
        <w:t>（一）项目基本情况</w:t>
      </w:r>
    </w:p>
    <w:p>
      <w:pPr>
        <w:snapToGrid w:val="0"/>
        <w:spacing w:line="576" w:lineRule="exact"/>
        <w:ind w:firstLine="640" w:firstLineChars="200"/>
        <w:rPr>
          <w:rFonts w:ascii="仿宋_GB2312" w:hAnsi="仿宋_GB2312" w:cs="仿宋_GB2312"/>
          <w:color w:val="000000" w:themeColor="text1"/>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为贯彻落实市委、市政府关于城市管理体制改革工作精神，按照七届市委常委会第197次会议审定的《关于市城区广场栖凤湖运行管理体制调整有关事宜的请示》（广府党组〔2020〕78号）要求，市文旅集团迅速组建广元文旅城市管理服务有限公司，于2021年3月承接栖凤湖清漂以及三大公园、四大广场的管理运营工作。</w:t>
      </w:r>
    </w:p>
    <w:p>
      <w:pPr>
        <w:snapToGrid w:val="0"/>
        <w:spacing w:line="576" w:lineRule="exact"/>
        <w:ind w:firstLine="640" w:firstLineChars="200"/>
        <w:rPr>
          <w:rFonts w:ascii="楷体_GB2312" w:hAnsi="宋体" w:eastAsia="楷体_GB2312"/>
          <w:color w:val="000000" w:themeColor="text1"/>
          <w:lang w:val="zh-CN"/>
          <w14:textFill>
            <w14:solidFill>
              <w14:schemeClr w14:val="tx1"/>
            </w14:solidFill>
          </w14:textFill>
        </w:rPr>
      </w:pPr>
      <w:r>
        <w:rPr>
          <w:rFonts w:hint="eastAsia" w:ascii="楷体_GB2312" w:hAnsi="宋体" w:eastAsia="楷体_GB2312"/>
          <w:color w:val="000000" w:themeColor="text1"/>
          <w:szCs w:val="32"/>
          <w14:textFill>
            <w14:solidFill>
              <w14:schemeClr w14:val="tx1"/>
            </w14:solidFill>
          </w14:textFill>
        </w:rPr>
        <w:t>（二）</w:t>
      </w:r>
      <w:r>
        <w:rPr>
          <w:rFonts w:ascii="楷体_GB2312" w:hAnsi="宋体" w:eastAsia="楷体_GB2312"/>
          <w:color w:val="000000" w:themeColor="text1"/>
          <w:szCs w:val="32"/>
          <w14:textFill>
            <w14:solidFill>
              <w14:schemeClr w14:val="tx1"/>
            </w14:solidFill>
          </w14:textFill>
        </w:rPr>
        <w:t>实施目的及支持方向</w:t>
      </w:r>
    </w:p>
    <w:p>
      <w:pPr>
        <w:snapToGrid w:val="0"/>
        <w:spacing w:line="576" w:lineRule="exact"/>
        <w:ind w:firstLine="640" w:firstLineChars="200"/>
        <w:jc w:val="left"/>
        <w:rPr>
          <w:rFonts w:ascii="仿宋_GB2312" w:hAnsi="仿宋_GB2312" w:cs="仿宋_GB2312"/>
          <w:color w:val="000000" w:themeColor="text1"/>
          <w:kern w:val="0"/>
          <w:shd w:val="clear" w:color="auto" w:fill="FFFFFF"/>
          <w:lang w:val="zh-CN"/>
          <w14:textFill>
            <w14:solidFill>
              <w14:schemeClr w14:val="tx1"/>
            </w14:solidFill>
          </w14:textFill>
        </w:rPr>
      </w:pPr>
      <w:r>
        <w:rPr>
          <w:rFonts w:hint="eastAsia" w:ascii="仿宋_GB2312" w:hAnsi="仿宋_GB2312" w:cs="仿宋_GB2312"/>
          <w:color w:val="000000" w:themeColor="text1"/>
          <w:kern w:val="0"/>
          <w:szCs w:val="32"/>
          <w:shd w:val="clear" w:color="auto" w:fill="FFFFFF"/>
          <w14:textFill>
            <w14:solidFill>
              <w14:schemeClr w14:val="tx1"/>
            </w14:solidFill>
          </w14:textFill>
        </w:rPr>
        <w:t>1.</w:t>
      </w:r>
      <w:r>
        <w:rPr>
          <w:rFonts w:hint="eastAsia" w:ascii="仿宋_GB2312" w:hAnsi="仿宋_GB2312" w:cs="仿宋_GB2312"/>
          <w:color w:val="000000" w:themeColor="text1"/>
          <w:kern w:val="0"/>
          <w:szCs w:val="32"/>
          <w:shd w:val="clear" w:color="auto" w:fill="FFFFFF"/>
          <w:lang w:val="zh-CN"/>
          <w14:textFill>
            <w14:solidFill>
              <w14:schemeClr w14:val="tx1"/>
            </w14:solidFill>
          </w14:textFill>
        </w:rPr>
        <w:t>项目主要内容</w:t>
      </w:r>
    </w:p>
    <w:p>
      <w:pPr>
        <w:snapToGrid w:val="0"/>
        <w:spacing w:line="576" w:lineRule="exact"/>
        <w:ind w:firstLine="640" w:firstLineChars="200"/>
        <w:jc w:val="left"/>
        <w:rPr>
          <w:color w:val="000000" w:themeColor="text1"/>
          <w14:textFill>
            <w14:solidFill>
              <w14:schemeClr w14:val="tx1"/>
            </w14:solidFill>
          </w14:textFill>
        </w:rPr>
      </w:pPr>
      <w:r>
        <w:rPr>
          <w:rFonts w:hint="eastAsia"/>
          <w:color w:val="000000" w:themeColor="text1"/>
          <w:szCs w:val="32"/>
          <w14:textFill>
            <w14:solidFill>
              <w14:schemeClr w14:val="tx1"/>
            </w14:solidFill>
          </w14:textFill>
        </w:rPr>
        <w:t>三大公园、四大广场日常巡查、安保秩序、安全管理、消防管理、园林绿化等日常运行管理、市政基础设施的日常管护及栖凤湖水面保洁和日常巡查。</w:t>
      </w:r>
    </w:p>
    <w:p>
      <w:pPr>
        <w:adjustRightInd w:val="0"/>
        <w:snapToGrid w:val="0"/>
        <w:spacing w:line="576" w:lineRule="exact"/>
        <w:ind w:firstLine="640" w:firstLineChars="200"/>
        <w:contextualSpacing/>
        <w:rPr>
          <w:rFonts w:ascii="仿宋_GB2312" w:hAnsi="仿宋_GB2312" w:cs="仿宋_GB2312"/>
          <w:color w:val="000000" w:themeColor="text1"/>
          <w:kern w:val="0"/>
          <w:shd w:val="clear" w:color="auto" w:fill="FFFFFF"/>
          <w:lang w:val="zh-CN"/>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2.</w:t>
      </w:r>
      <w:r>
        <w:rPr>
          <w:rFonts w:hint="eastAsia" w:ascii="仿宋_GB2312" w:hAnsi="仿宋_GB2312" w:cs="仿宋_GB2312"/>
          <w:color w:val="000000" w:themeColor="text1"/>
          <w:szCs w:val="32"/>
          <w:lang w:val="zh-CN"/>
          <w14:textFill>
            <w14:solidFill>
              <w14:schemeClr w14:val="tx1"/>
            </w14:solidFill>
          </w14:textFill>
        </w:rPr>
        <w:t>项目实施目的</w:t>
      </w:r>
    </w:p>
    <w:p>
      <w:pPr>
        <w:snapToGrid w:val="0"/>
        <w:spacing w:line="576" w:lineRule="exact"/>
        <w:ind w:firstLine="640" w:firstLineChars="200"/>
        <w:jc w:val="left"/>
        <w:rPr>
          <w:rFonts w:ascii="仿宋_GB2312" w:hAnsi="仿宋_GB2312" w:cs="仿宋_GB2312"/>
          <w:color w:val="000000" w:themeColor="text1"/>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打造干净整洁的城市环境，增强居民群众的获得感、幸福感、安全感。</w:t>
      </w:r>
    </w:p>
    <w:p>
      <w:pPr>
        <w:snapToGrid w:val="0"/>
        <w:spacing w:line="576" w:lineRule="exact"/>
        <w:ind w:firstLine="640" w:firstLineChars="200"/>
        <w:jc w:val="left"/>
      </w:pPr>
      <w:r>
        <w:rPr>
          <w:rFonts w:hint="eastAsia" w:ascii="仿宋_GB2312" w:hAnsi="仿宋_GB2312" w:cs="仿宋_GB2312"/>
          <w:szCs w:val="32"/>
        </w:rPr>
        <w:t>3.支持方向</w:t>
      </w:r>
    </w:p>
    <w:p>
      <w:pPr>
        <w:adjustRightInd w:val="0"/>
        <w:snapToGrid w:val="0"/>
        <w:spacing w:line="576" w:lineRule="exact"/>
        <w:ind w:firstLine="640" w:firstLineChars="200"/>
        <w:contextualSpacing/>
      </w:pPr>
      <w:r>
        <w:rPr>
          <w:rFonts w:hint="eastAsia" w:ascii="仿宋_GB2312" w:hAnsi="仿宋_GB2312" w:cs="仿宋_GB2312"/>
          <w:color w:val="000000" w:themeColor="text1"/>
          <w:szCs w:val="32"/>
          <w14:textFill>
            <w14:solidFill>
              <w14:schemeClr w14:val="tx1"/>
            </w14:solidFill>
          </w14:textFill>
        </w:rPr>
        <w:t>因广元文旅城市管理服务有限公司管理运营收支差额大，维持正常运营困难，市政府于2021年11月组织市财政局、住建局、自然资源局、市委编办和国资委等部门专题研究栖凤湖和公园广场运行管理工作，并将会议议定事项形成《专会纪要》（广府阅〔2021〕58号），议定对市文旅集团将进行为期三年的补助，2021年补助600万元、2022年补助500万元、2023年补助400万元。</w:t>
      </w:r>
    </w:p>
    <w:p>
      <w:pPr>
        <w:adjustRightInd w:val="0"/>
        <w:snapToGrid w:val="0"/>
        <w:spacing w:line="576" w:lineRule="exact"/>
        <w:ind w:firstLine="640" w:firstLineChars="200"/>
        <w:contextualSpacing/>
        <w:rPr>
          <w:bCs/>
        </w:rPr>
      </w:pPr>
      <w:r>
        <w:rPr>
          <w:rFonts w:hint="eastAsia" w:ascii="楷体_GB2312" w:hAnsi="宋体" w:eastAsia="楷体_GB2312"/>
          <w:bCs/>
          <w:szCs w:val="32"/>
        </w:rPr>
        <w:t>（三）</w:t>
      </w:r>
      <w:r>
        <w:rPr>
          <w:rFonts w:ascii="楷体_GB2312" w:hAnsi="宋体" w:eastAsia="楷体_GB2312"/>
          <w:bCs/>
          <w:szCs w:val="32"/>
        </w:rPr>
        <w:t>预算安排及分配管理</w:t>
      </w:r>
    </w:p>
    <w:p>
      <w:pPr>
        <w:adjustRightInd w:val="0"/>
        <w:snapToGrid w:val="0"/>
        <w:spacing w:line="576" w:lineRule="exact"/>
        <w:ind w:firstLine="640" w:firstLineChars="200"/>
        <w:contextualSpacing/>
        <w:rPr>
          <w:color w:val="000000" w:themeColor="text1"/>
          <w14:textFill>
            <w14:solidFill>
              <w14:schemeClr w14:val="tx1"/>
            </w14:solidFill>
          </w14:textFill>
        </w:rPr>
      </w:pPr>
      <w:r>
        <w:rPr>
          <w:rFonts w:hint="eastAsia" w:ascii="仿宋_GB2312" w:hAnsi="仿宋_GB2312" w:cs="仿宋_GB2312"/>
          <w:color w:val="000000" w:themeColor="text1"/>
          <w:position w:val="-2"/>
          <w:szCs w:val="32"/>
          <w14:textFill>
            <w14:solidFill>
              <w14:schemeClr w14:val="tx1"/>
            </w14:solidFill>
          </w14:textFill>
        </w:rPr>
        <w:t>2023年6月2日，市财政局下达了《</w:t>
      </w:r>
      <w:r>
        <w:rPr>
          <w:rFonts w:hint="eastAsia" w:hAnsi="仿宋_GB2312" w:cs="仿宋_GB2312"/>
          <w:color w:val="000000" w:themeColor="text1"/>
          <w:szCs w:val="32"/>
          <w14:textFill>
            <w14:solidFill>
              <w14:schemeClr w14:val="tx1"/>
            </w14:solidFill>
          </w14:textFill>
        </w:rPr>
        <w:t>广元市财政局</w:t>
      </w:r>
      <w:r>
        <w:rPr>
          <w:rFonts w:hint="eastAsia" w:ascii="仿宋_GB2312" w:hAnsi="仿宋_GB2312" w:cs="仿宋_GB2312"/>
          <w:color w:val="000000" w:themeColor="text1"/>
          <w:position w:val="-2"/>
          <w:szCs w:val="32"/>
          <w14:textFill>
            <w14:solidFill>
              <w14:schemeClr w14:val="tx1"/>
            </w14:solidFill>
          </w14:textFill>
        </w:rPr>
        <w:t>关于下达一次性专项资金的通知》</w:t>
      </w:r>
      <w:r>
        <w:rPr>
          <w:rFonts w:hint="eastAsia" w:ascii="仿宋_GB2312" w:hAnsi="仿宋_GB2312" w:cs="仿宋_GB2312"/>
          <w:color w:val="000000" w:themeColor="text1"/>
          <w:position w:val="-2"/>
          <w:szCs w:val="32"/>
          <w:lang w:val="zh-CN"/>
          <w14:textFill>
            <w14:solidFill>
              <w14:schemeClr w14:val="tx1"/>
            </w14:solidFill>
          </w14:textFill>
        </w:rPr>
        <w:t>（广财投〔</w:t>
      </w:r>
      <w:r>
        <w:rPr>
          <w:rFonts w:hint="eastAsia" w:ascii="仿宋_GB2312" w:hAnsi="仿宋_GB2312" w:cs="仿宋_GB2312"/>
          <w:color w:val="000000" w:themeColor="text1"/>
          <w:position w:val="-2"/>
          <w:szCs w:val="32"/>
          <w14:textFill>
            <w14:solidFill>
              <w14:schemeClr w14:val="tx1"/>
            </w14:solidFill>
          </w14:textFill>
        </w:rPr>
        <w:t>2023</w:t>
      </w:r>
      <w:r>
        <w:rPr>
          <w:rFonts w:hint="eastAsia" w:ascii="仿宋_GB2312" w:hAnsi="仿宋_GB2312" w:cs="仿宋_GB2312"/>
          <w:color w:val="000000" w:themeColor="text1"/>
          <w:position w:val="-2"/>
          <w:szCs w:val="32"/>
          <w:lang w:val="zh-CN"/>
          <w14:textFill>
            <w14:solidFill>
              <w14:schemeClr w14:val="tx1"/>
            </w14:solidFill>
          </w14:textFill>
        </w:rPr>
        <w:t>〕</w:t>
      </w:r>
      <w:r>
        <w:rPr>
          <w:rFonts w:hint="eastAsia" w:ascii="仿宋_GB2312" w:hAnsi="仿宋_GB2312" w:cs="仿宋_GB2312"/>
          <w:color w:val="000000" w:themeColor="text1"/>
          <w:position w:val="-2"/>
          <w:szCs w:val="32"/>
          <w14:textFill>
            <w14:solidFill>
              <w14:schemeClr w14:val="tx1"/>
            </w14:solidFill>
          </w14:textFill>
        </w:rPr>
        <w:t>33号</w:t>
      </w:r>
      <w:r>
        <w:rPr>
          <w:rFonts w:hint="eastAsia" w:ascii="仿宋_GB2312" w:hAnsi="仿宋_GB2312" w:cs="仿宋_GB2312"/>
          <w:color w:val="000000" w:themeColor="text1"/>
          <w:position w:val="-2"/>
          <w:szCs w:val="32"/>
          <w:lang w:val="zh-CN"/>
          <w14:textFill>
            <w14:solidFill>
              <w14:schemeClr w14:val="tx1"/>
            </w14:solidFill>
          </w14:textFill>
        </w:rPr>
        <w:t>），安排</w:t>
      </w:r>
      <w:r>
        <w:rPr>
          <w:rFonts w:hint="eastAsia" w:ascii="仿宋_GB2312" w:hAnsi="仿宋_GB2312" w:cs="仿宋_GB2312"/>
          <w:color w:val="000000" w:themeColor="text1"/>
          <w:position w:val="-2"/>
          <w:szCs w:val="32"/>
          <w14:textFill>
            <w14:solidFill>
              <w14:schemeClr w14:val="tx1"/>
            </w14:solidFill>
          </w14:textFill>
        </w:rPr>
        <w:t>2023年度公园广场及栖凤湖运维补助资金400万元。主要用于</w:t>
      </w:r>
      <w:r>
        <w:rPr>
          <w:rFonts w:hint="eastAsia"/>
          <w:color w:val="000000" w:themeColor="text1"/>
          <w:szCs w:val="32"/>
          <w14:textFill>
            <w14:solidFill>
              <w14:schemeClr w14:val="tx1"/>
            </w14:solidFill>
          </w14:textFill>
        </w:rPr>
        <w:t>湿地公园、凤凰山公园、红星公园、南河广场、利州广场、苴国广场、嘉陵广场日常巡查、安保秩序、安全管理、消防管理、园林绿化等日常运行管理、市政基础设施的日常管护及栖凤湖水面保洁。</w:t>
      </w:r>
    </w:p>
    <w:p>
      <w:pPr>
        <w:adjustRightInd w:val="0"/>
        <w:snapToGrid w:val="0"/>
        <w:spacing w:line="576" w:lineRule="exact"/>
        <w:ind w:firstLine="640" w:firstLineChars="200"/>
        <w:contextualSpacing/>
        <w:rPr>
          <w:rFonts w:ascii="仿宋_GB2312" w:hAnsi="仿宋_GB2312" w:cs="仿宋_GB2312"/>
          <w:kern w:val="0"/>
          <w:shd w:val="clear" w:color="auto" w:fill="FFFFFF"/>
          <w:lang w:val="zh-CN"/>
        </w:rPr>
      </w:pPr>
      <w:r>
        <w:rPr>
          <w:rFonts w:hint="eastAsia" w:ascii="仿宋_GB2312" w:hAnsi="仿宋_GB2312" w:cs="仿宋_GB2312"/>
          <w:kern w:val="0"/>
          <w:szCs w:val="32"/>
          <w:shd w:val="clear" w:color="auto" w:fill="FFFFFF"/>
          <w:lang w:val="zh-CN"/>
        </w:rPr>
        <w:t>项目资金的分配始终坚持一个原则：全力保证</w:t>
      </w:r>
      <w:r>
        <w:rPr>
          <w:rFonts w:hint="eastAsia" w:ascii="仿宋_GB2312" w:hAnsi="仿宋_GB2312" w:cs="仿宋_GB2312"/>
          <w:kern w:val="0"/>
          <w:szCs w:val="32"/>
          <w:shd w:val="clear" w:color="auto" w:fill="FFFFFF"/>
        </w:rPr>
        <w:t>2023年城区公园、广场和栖凤湖运行维护项目</w:t>
      </w:r>
      <w:r>
        <w:rPr>
          <w:rFonts w:hint="eastAsia" w:ascii="仿宋_GB2312" w:hAnsi="仿宋_GB2312" w:cs="仿宋_GB2312"/>
          <w:kern w:val="0"/>
          <w:szCs w:val="32"/>
          <w:shd w:val="clear" w:color="auto" w:fill="FFFFFF"/>
          <w:lang w:val="zh-CN"/>
        </w:rPr>
        <w:t>顺利推进，确保资金公平合理地分配到项目建设的各个环节，提升项目质量和资金使用效益，实现资金落到实处，强化执行过程监督。</w:t>
      </w:r>
    </w:p>
    <w:p>
      <w:pPr>
        <w:adjustRightInd w:val="0"/>
        <w:snapToGrid w:val="0"/>
        <w:spacing w:line="578" w:lineRule="exact"/>
        <w:ind w:left="643"/>
        <w:rPr>
          <w:bCs/>
          <w:lang w:val="zh-CN"/>
        </w:rPr>
      </w:pPr>
      <w:r>
        <w:rPr>
          <w:rFonts w:hint="eastAsia" w:ascii="楷体_GB2312" w:hAnsi="宋体" w:eastAsia="楷体_GB2312"/>
          <w:bCs/>
          <w:szCs w:val="32"/>
          <w:lang w:val="zh-CN"/>
        </w:rPr>
        <w:t>（四）项目绩效目标设置</w:t>
      </w:r>
    </w:p>
    <w:p>
      <w:pPr>
        <w:adjustRightInd w:val="0"/>
        <w:snapToGrid w:val="0"/>
        <w:spacing w:line="578" w:lineRule="exact"/>
        <w:ind w:firstLine="640" w:firstLineChars="200"/>
        <w:rPr>
          <w:rFonts w:ascii="仿宋_GB2312" w:hAnsi="仿宋_GB2312" w:cs="仿宋_GB2312"/>
        </w:rPr>
      </w:pPr>
      <w:r>
        <w:rPr>
          <w:rFonts w:hint="eastAsia" w:ascii="仿宋_GB2312" w:hAnsi="仿宋_GB2312" w:cs="仿宋_GB2312"/>
          <w:bCs/>
          <w:szCs w:val="32"/>
        </w:rPr>
        <w:t>1.</w:t>
      </w:r>
      <w:r>
        <w:rPr>
          <w:rFonts w:hint="eastAsia" w:ascii="仿宋_GB2312" w:hAnsi="仿宋_GB2312" w:cs="仿宋_GB2312"/>
          <w:bCs/>
          <w:szCs w:val="32"/>
          <w:lang w:val="zh-CN"/>
        </w:rPr>
        <w:t>绩效目标设置情况。</w:t>
      </w:r>
      <w:r>
        <w:rPr>
          <w:rFonts w:hint="eastAsia" w:ascii="仿宋_GB2312" w:hAnsi="仿宋_GB2312" w:cs="仿宋_GB2312"/>
          <w:szCs w:val="32"/>
        </w:rPr>
        <w:t>项目绩效目标设置量化可考核，与部门的长期规划目标、年度工作目标相一致，绩效指标可细化、量化，绩效目标和绩效指标契合政策和项目实质，产出和效果相关联，对满意度指标进行了量化预测，绩效目标具有一定前瞻性和挑战性，绩效目标和绩效指标匹配，绩效指标设计全面完整。</w:t>
      </w:r>
    </w:p>
    <w:p>
      <w:pPr>
        <w:adjustRightInd w:val="0"/>
        <w:snapToGrid w:val="0"/>
        <w:spacing w:line="578" w:lineRule="exact"/>
        <w:ind w:firstLine="640" w:firstLineChars="200"/>
        <w:rPr>
          <w:rFonts w:ascii="黑体" w:hAnsi="宋体" w:eastAsia="黑体"/>
        </w:rPr>
      </w:pPr>
      <w:r>
        <w:rPr>
          <w:rFonts w:hint="eastAsia" w:ascii="仿宋_GB2312" w:hAnsi="仿宋_GB2312" w:cs="仿宋_GB2312"/>
          <w:bCs/>
          <w:szCs w:val="32"/>
        </w:rPr>
        <w:t>2.</w:t>
      </w:r>
      <w:r>
        <w:rPr>
          <w:rFonts w:hint="eastAsia" w:ascii="仿宋_GB2312" w:hAnsi="仿宋_GB2312" w:cs="仿宋_GB2312"/>
          <w:bCs/>
          <w:szCs w:val="32"/>
          <w:lang w:val="zh-CN"/>
        </w:rPr>
        <w:t>项目自评工作开展情况。</w:t>
      </w:r>
      <w:r>
        <w:rPr>
          <w:rFonts w:hint="eastAsia" w:ascii="仿宋_GB2312" w:hAnsi="仿宋_GB2312" w:cs="仿宋_GB2312"/>
          <w:szCs w:val="32"/>
        </w:rPr>
        <w:t>单位</w:t>
      </w:r>
      <w:r>
        <w:rPr>
          <w:rFonts w:hint="eastAsia" w:ascii="仿宋_GB2312" w:hAnsi="仿宋_GB2312" w:cs="仿宋_GB2312"/>
          <w:szCs w:val="32"/>
          <w:lang w:val="en"/>
        </w:rPr>
        <w:t>根据项目合同书或验收要求，建立自评指标和标准；然后对照指标和标准，组织相关人员对项目实施的过程及提交的成果，按照各个指标和标准进行了自评。</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rPr>
          <w:rFonts w:ascii="楷体_GB2312" w:hAnsi="宋体" w:eastAsia="楷体_GB2312"/>
          <w:bCs/>
          <w:lang w:val="zh-CN"/>
        </w:rPr>
      </w:pPr>
      <w:r>
        <w:rPr>
          <w:rFonts w:hint="eastAsia" w:ascii="楷体_GB2312" w:hAnsi="宋体" w:eastAsia="楷体_GB2312"/>
          <w:bCs/>
          <w:szCs w:val="32"/>
          <w:lang w:val="zh-CN"/>
        </w:rPr>
        <w:t>（一）评价目的</w:t>
      </w:r>
      <w:r>
        <w:rPr>
          <w:rFonts w:hint="eastAsia" w:ascii="楷体_GB2312" w:hAnsi="宋体" w:eastAsia="楷体_GB2312"/>
          <w:bCs/>
          <w:lang w:val="zh-CN"/>
        </w:rPr>
        <w:t>。</w:t>
      </w:r>
      <w:r>
        <w:rPr>
          <w:bCs/>
          <w:szCs w:val="32"/>
        </w:rPr>
        <w:t>通过</w:t>
      </w:r>
      <w:r>
        <w:rPr>
          <w:rFonts w:hint="eastAsia"/>
          <w:bCs/>
          <w:szCs w:val="32"/>
        </w:rPr>
        <w:t>项目绩效自评来核查此项目是否达到预期目标，从而完善内部管理流程，强化预算支出的责任和效率。</w:t>
      </w:r>
    </w:p>
    <w:p>
      <w:pPr>
        <w:spacing w:line="578" w:lineRule="exact"/>
        <w:ind w:firstLine="640"/>
        <w:rPr>
          <w:bCs/>
        </w:rPr>
      </w:pPr>
      <w:r>
        <w:rPr>
          <w:rFonts w:hint="eastAsia" w:ascii="楷体_GB2312" w:hAnsi="宋体" w:eastAsia="楷体_GB2312"/>
          <w:bCs/>
          <w:szCs w:val="32"/>
          <w:lang w:val="zh-CN"/>
        </w:rPr>
        <w:t>（二）预设问题及评价重点。</w:t>
      </w:r>
      <w:r>
        <w:rPr>
          <w:rFonts w:hint="eastAsia"/>
          <w:bCs/>
          <w:szCs w:val="32"/>
          <w:lang w:val="zh-CN"/>
        </w:rPr>
        <w:t>根据项目实际情况，</w:t>
      </w:r>
      <w:r>
        <w:rPr>
          <w:rFonts w:hint="eastAsia"/>
          <w:bCs/>
          <w:szCs w:val="32"/>
        </w:rPr>
        <w:t>将指标评价体系中的项目管理作为评价重点；将资金使用拨付、项目实施是否符合规定作为预设问题。</w:t>
      </w:r>
    </w:p>
    <w:p>
      <w:pPr>
        <w:adjustRightInd w:val="0"/>
        <w:snapToGrid w:val="0"/>
        <w:spacing w:line="578" w:lineRule="exact"/>
        <w:ind w:firstLine="640" w:firstLineChars="200"/>
        <w:rPr>
          <w:bCs/>
          <w:lang w:val="zh-CN"/>
        </w:rPr>
      </w:pPr>
      <w:r>
        <w:rPr>
          <w:rFonts w:hint="eastAsia" w:ascii="楷体_GB2312" w:hAnsi="宋体" w:eastAsia="楷体_GB2312"/>
          <w:bCs/>
          <w:szCs w:val="32"/>
          <w:lang w:val="zh-CN"/>
        </w:rPr>
        <w:t>（三）评价选点。</w:t>
      </w:r>
      <w:r>
        <w:rPr>
          <w:rFonts w:hint="eastAsia" w:ascii="仿宋_GB2312" w:hAnsi="仿宋_GB2312" w:cs="仿宋_GB2312"/>
          <w:bCs/>
          <w:szCs w:val="32"/>
          <w:lang w:val="zh-CN"/>
        </w:rPr>
        <w:t>主要对资金使用情况进行抽查。</w:t>
      </w:r>
    </w:p>
    <w:p>
      <w:pPr>
        <w:spacing w:line="578" w:lineRule="exact"/>
        <w:ind w:firstLine="640"/>
        <w:rPr>
          <w:bCs/>
        </w:rPr>
      </w:pPr>
      <w:r>
        <w:rPr>
          <w:rFonts w:hint="eastAsia" w:ascii="楷体_GB2312" w:hAnsi="宋体" w:eastAsia="楷体_GB2312"/>
          <w:bCs/>
          <w:szCs w:val="32"/>
          <w:lang w:val="zh-CN"/>
        </w:rPr>
        <w:t>（四）评价方法。</w:t>
      </w:r>
      <w:r>
        <w:rPr>
          <w:rFonts w:hint="eastAsia"/>
          <w:bCs/>
          <w:szCs w:val="32"/>
        </w:rPr>
        <w:t>2023年城区公园、广场和栖凤湖运行维护项目</w:t>
      </w:r>
      <w:r>
        <w:rPr>
          <w:rFonts w:hint="eastAsia"/>
          <w:bCs/>
          <w:szCs w:val="32"/>
          <w:lang w:val="zh-CN"/>
        </w:rPr>
        <w:t>采用</w:t>
      </w:r>
      <w:r>
        <w:rPr>
          <w:bCs/>
          <w:szCs w:val="32"/>
        </w:rPr>
        <w:t>单位自评法</w:t>
      </w:r>
      <w:r>
        <w:rPr>
          <w:rFonts w:hint="eastAsia"/>
          <w:bCs/>
          <w:szCs w:val="32"/>
        </w:rPr>
        <w:t>。</w:t>
      </w:r>
    </w:p>
    <w:p>
      <w:pPr>
        <w:spacing w:line="578" w:lineRule="exact"/>
        <w:ind w:firstLine="640"/>
        <w:rPr>
          <w:bCs/>
        </w:rPr>
      </w:pPr>
      <w:r>
        <w:rPr>
          <w:rFonts w:hint="eastAsia" w:ascii="楷体_GB2312" w:hAnsi="宋体" w:eastAsia="楷体_GB2312"/>
          <w:bCs/>
          <w:szCs w:val="32"/>
          <w:lang w:val="zh-CN"/>
        </w:rPr>
        <w:t>（五）评价组织。</w:t>
      </w:r>
      <w:r>
        <w:rPr>
          <w:rFonts w:hint="eastAsia" w:ascii="仿宋_GB2312" w:hAnsi="仿宋_GB2312" w:cs="仿宋_GB2312"/>
          <w:bCs/>
          <w:szCs w:val="32"/>
          <w:lang w:val="zh-CN"/>
        </w:rPr>
        <w:t>组建项目</w:t>
      </w:r>
      <w:r>
        <w:rPr>
          <w:rFonts w:hint="eastAsia" w:ascii="仿宋_GB2312" w:hAnsi="仿宋_GB2312" w:cs="仿宋_GB2312"/>
          <w:bCs/>
          <w:szCs w:val="32"/>
        </w:rPr>
        <w:t>评价小组，单位负责人为组长，负责自评全面工作</w:t>
      </w:r>
      <w:r>
        <w:rPr>
          <w:rFonts w:hint="eastAsia" w:ascii="仿宋_GB2312" w:hAnsi="仿宋_GB2312" w:cs="仿宋_GB2312"/>
          <w:szCs w:val="32"/>
        </w:rPr>
        <w:t>；分管领导为副组长，负责安排实施各板块工作、相关部门负责人为成员，负责评价具体工作。</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宋体" w:eastAsia="楷体_GB2312"/>
          <w:bCs/>
        </w:rPr>
      </w:pPr>
      <w:r>
        <w:rPr>
          <w:rFonts w:hint="eastAsia" w:ascii="楷体_GB2312" w:hAnsi="宋体" w:eastAsia="楷体_GB2312"/>
          <w:bCs/>
          <w:szCs w:val="32"/>
          <w:lang w:val="zh-CN"/>
        </w:rPr>
        <w:t>（一）</w:t>
      </w:r>
      <w:r>
        <w:rPr>
          <w:rFonts w:hint="eastAsia" w:ascii="楷体_GB2312" w:hAnsi="宋体" w:eastAsia="楷体_GB2312"/>
          <w:bCs/>
          <w:szCs w:val="32"/>
        </w:rPr>
        <w:t>通用指标</w:t>
      </w:r>
      <w:r>
        <w:rPr>
          <w:rFonts w:eastAsia="楷体_GB2312"/>
          <w:bCs/>
          <w:color w:val="000000"/>
          <w:kern w:val="0"/>
          <w:szCs w:val="32"/>
          <w:shd w:val="clear" w:color="auto" w:fill="FFFFFF"/>
          <w:lang w:val="zh-CN"/>
        </w:rPr>
        <w:t>绩效分析。</w:t>
      </w:r>
    </w:p>
    <w:p>
      <w:pPr>
        <w:spacing w:line="578" w:lineRule="exact"/>
        <w:ind w:firstLine="640"/>
        <w:rPr>
          <w:rFonts w:ascii="仿宋_GB2312" w:hAnsi="仿宋_GB2312" w:cs="仿宋_GB2312"/>
        </w:rPr>
      </w:pPr>
      <w:r>
        <w:rPr>
          <w:rFonts w:hint="eastAsia" w:ascii="仿宋_GB2312" w:hAnsi="仿宋_GB2312" w:cs="仿宋_GB2312"/>
          <w:bCs/>
          <w:szCs w:val="32"/>
        </w:rPr>
        <w:t>1.项目决策。项目设立、调整延续等方面符合资金管理基本规范和决策程序要求；项目规划符合党中央国务院、省委省政府、市委市政府有关决</w:t>
      </w:r>
      <w:r>
        <w:rPr>
          <w:rFonts w:hint="eastAsia" w:ascii="仿宋_GB2312" w:hAnsi="仿宋_GB2312" w:cs="仿宋_GB2312"/>
          <w:szCs w:val="32"/>
        </w:rPr>
        <w:t>策部署安排，项目资金与项目总体规划、相关行业事业发展相匹配。绩效目标科学合理、规范完整、量化细化、与预算匹配。自评得分18分。</w:t>
      </w:r>
    </w:p>
    <w:p>
      <w:pPr>
        <w:spacing w:line="578" w:lineRule="exact"/>
        <w:ind w:firstLine="640"/>
        <w:rPr>
          <w:rFonts w:ascii="仿宋_GB2312" w:hAnsi="仿宋_GB2312" w:cs="仿宋_GB2312"/>
        </w:rPr>
      </w:pPr>
      <w:r>
        <w:rPr>
          <w:rFonts w:hint="eastAsia" w:ascii="仿宋_GB2312" w:hAnsi="仿宋_GB2312" w:cs="仿宋_GB2312"/>
          <w:szCs w:val="32"/>
        </w:rPr>
        <w:t>2.项目管理。</w:t>
      </w:r>
      <w:r>
        <w:rPr>
          <w:rFonts w:hint="eastAsia" w:ascii="仿宋_GB2312" w:hAnsi="仿宋_GB2312" w:cs="仿宋_GB2312"/>
          <w:szCs w:val="32"/>
          <w:lang w:val="zh-CN"/>
        </w:rPr>
        <w:t>公园、广场运维费用严格执行公司财务管理制度报销。另外特别制定《</w:t>
      </w:r>
      <w:r>
        <w:rPr>
          <w:rFonts w:hint="eastAsia" w:ascii="仿宋_GB2312" w:hAnsi="仿宋_GB2312" w:cs="仿宋_GB2312"/>
          <w:szCs w:val="32"/>
        </w:rPr>
        <w:t>广元市</w:t>
      </w:r>
      <w:r>
        <w:rPr>
          <w:rFonts w:hint="eastAsia" w:ascii="仿宋_GB2312" w:hAnsi="仿宋_GB2312" w:cs="仿宋_GB2312"/>
          <w:szCs w:val="32"/>
          <w:lang w:val="zh-CN"/>
        </w:rPr>
        <w:t>栖凤湖</w:t>
      </w:r>
      <w:r>
        <w:rPr>
          <w:rFonts w:hint="eastAsia" w:ascii="仿宋_GB2312" w:hAnsi="仿宋_GB2312" w:cs="仿宋_GB2312"/>
          <w:szCs w:val="32"/>
        </w:rPr>
        <w:t>保洁工作管理制度》，该制度明确规定了栖凤湖保洁管理职责、管理内容、要求、报告与记录等事项。项目资金分配合理，项目管理、审批符合管理要求；项目绩效监管均按要求开展。自评得分18分。</w:t>
      </w:r>
    </w:p>
    <w:p>
      <w:pPr>
        <w:spacing w:line="578" w:lineRule="exact"/>
        <w:ind w:firstLine="640"/>
        <w:rPr>
          <w:rFonts w:ascii="仿宋_GB2312" w:hAnsi="仿宋_GB2312" w:cs="仿宋_GB2312"/>
        </w:rPr>
      </w:pPr>
      <w:r>
        <w:rPr>
          <w:rFonts w:hint="eastAsia" w:ascii="仿宋_GB2312" w:hAnsi="仿宋_GB2312" w:cs="仿宋_GB2312"/>
          <w:szCs w:val="32"/>
        </w:rPr>
        <w:t>3.项目实施</w:t>
      </w:r>
    </w:p>
    <w:p>
      <w:pPr>
        <w:spacing w:line="576" w:lineRule="exact"/>
        <w:ind w:firstLine="640" w:firstLineChars="200"/>
        <w:rPr>
          <w:rFonts w:ascii="仿宋_GB2312" w:hAnsi="仿宋_GB2312" w:cs="仿宋_GB2312"/>
        </w:rPr>
      </w:pPr>
      <w:r>
        <w:rPr>
          <w:rFonts w:hint="eastAsia" w:ascii="仿宋_GB2312" w:hAnsi="仿宋_GB2312" w:cs="仿宋_GB2312"/>
          <w:szCs w:val="32"/>
        </w:rPr>
        <w:t>（1）栖凤湖水面清漂工作。落实湖区日常湖面清漂、应急污染处置、清漂队伍安全管理和汛期漂浮物堆积处置工作，清理湖面区域枯死树枝等漂浮物面积达5000</w:t>
      </w:r>
      <w:r>
        <w:rPr>
          <w:rFonts w:hint="eastAsia" w:ascii="Segoe UI Emoji" w:hAnsi="Segoe UI Emoji" w:eastAsia="Segoe UI Emoji" w:cs="Segoe UI Emoji"/>
          <w:szCs w:val="32"/>
        </w:rPr>
        <w:t>㎡</w:t>
      </w:r>
      <w:r>
        <w:rPr>
          <w:rFonts w:hint="eastAsia" w:ascii="仿宋_GB2312" w:hAnsi="仿宋_GB2312" w:cs="仿宋_GB2312"/>
          <w:szCs w:val="32"/>
        </w:rPr>
        <w:t>，清理河道岸线约1000m。处理管道排放污染10次，协助环保部门水质采样8次，完成汛期漂浮物专项治理、“女儿节”水面清漂专项治理、“女儿节”河灯打捞等重要工作，全年清理水上漂浮物600余吨。</w:t>
      </w:r>
    </w:p>
    <w:p>
      <w:pPr>
        <w:spacing w:line="576" w:lineRule="exact"/>
        <w:ind w:firstLine="640" w:firstLineChars="200"/>
        <w:rPr>
          <w:rFonts w:ascii="仿宋_GB2312" w:hAnsi="仿宋_GB2312" w:cs="仿宋_GB2312"/>
        </w:rPr>
      </w:pPr>
      <w:r>
        <w:rPr>
          <w:rFonts w:hint="eastAsia" w:ascii="仿宋_GB2312" w:hAnsi="仿宋_GB2312" w:cs="仿宋_GB2312"/>
          <w:szCs w:val="32"/>
        </w:rPr>
        <w:t>（2）三大公园绿化管护工作。组织开展铺装草坪、补植、杂物清理、植被灌溉、病虫害治理等工作。湿地公园全年对园区除草4次，全园病虫害防治5次，人工清理福寿螺 7000余斤，绿篱修剪2次，合计15000m</w:t>
      </w:r>
      <w:r>
        <w:rPr>
          <w:rFonts w:ascii="Calibri" w:hAnsi="Calibri" w:cs="Calibri"/>
          <w:szCs w:val="32"/>
        </w:rPr>
        <w:t>²</w:t>
      </w:r>
      <w:r>
        <w:rPr>
          <w:rFonts w:hint="eastAsia" w:ascii="仿宋_GB2312" w:hAnsi="仿宋_GB2312" w:cs="仿宋_GB2312"/>
          <w:szCs w:val="32"/>
        </w:rPr>
        <w:t>。红星公园全年清理枯枝枯叶9次，集中除杂草4次，植被大面积施肥1次，病虫害防治1次，修剪道路两边绿化带4次。凤凰山公园累计除草面积达7万</w:t>
      </w:r>
      <w:r>
        <w:rPr>
          <w:rFonts w:hint="eastAsia" w:ascii="Segoe UI Emoji" w:hAnsi="Segoe UI Emoji" w:eastAsia="Segoe UI Emoji" w:cs="Segoe UI Emoji"/>
          <w:szCs w:val="32"/>
        </w:rPr>
        <w:t>㎡</w:t>
      </w:r>
      <w:r>
        <w:rPr>
          <w:rFonts w:hint="eastAsia" w:ascii="仿宋_GB2312" w:hAnsi="仿宋_GB2312" w:cs="仿宋_GB2312"/>
          <w:szCs w:val="32"/>
        </w:rPr>
        <w:t>，灌木修剪面积约10万</w:t>
      </w:r>
      <w:r>
        <w:rPr>
          <w:rFonts w:hint="eastAsia" w:ascii="Segoe UI Emoji" w:hAnsi="Segoe UI Emoji" w:eastAsia="Segoe UI Emoji" w:cs="Segoe UI Emoji"/>
          <w:szCs w:val="32"/>
        </w:rPr>
        <w:t>㎡</w:t>
      </w:r>
      <w:r>
        <w:rPr>
          <w:rFonts w:hint="eastAsia" w:ascii="仿宋_GB2312" w:hAnsi="仿宋_GB2312" w:cs="仿宋_GB2312"/>
          <w:szCs w:val="32"/>
        </w:rPr>
        <w:t>，乔木修剪140株，达到无裸露土地，绿地覆盖率95%以上，对园内绿地松土施肥1次，全年病虫害防治撒药4次。</w:t>
      </w:r>
    </w:p>
    <w:p>
      <w:pPr>
        <w:spacing w:line="576" w:lineRule="exact"/>
        <w:ind w:firstLine="640" w:firstLineChars="200"/>
        <w:rPr>
          <w:rFonts w:ascii="仿宋_GB2312" w:hAnsi="仿宋_GB2312" w:cs="仿宋_GB2312"/>
        </w:rPr>
      </w:pPr>
      <w:r>
        <w:rPr>
          <w:rFonts w:hint="eastAsia" w:ascii="仿宋_GB2312" w:hAnsi="仿宋_GB2312" w:cs="仿宋_GB2312"/>
          <w:szCs w:val="32"/>
        </w:rPr>
        <w:t>（3）公园广场维修维护工作。四大广场完成嘉陵广场喷泉水篦子维修加固，南河广场损坏木板地面修复，苴国广场地面排水处理，利州广场损坏的地砖、座椅、汉白玉、绿化护栏维修等。凤凰山公园全年维修路灯100余盏、青石围栏90余m、路沿石30余m，确保园内座椅、垃圾桶等完整率达到98%；亮灯率达98%。红星公园完成红星画卷灯光电路电线维修，红星亭到红军塔木走廊灯光增设灯带，红军塔及二期损坏大理石围栏维修，“5.12脊梁”及爱心纪念坛景点损坏梯步等。湿地公园松柏道日常维修5次，日常维修园区道路损坏的裂缝合计1400余m，维修园区青石路面约260</w:t>
      </w:r>
      <w:r>
        <w:rPr>
          <w:rFonts w:hint="eastAsia" w:ascii="Segoe UI Emoji" w:hAnsi="Segoe UI Emoji" w:eastAsia="Segoe UI Emoji" w:cs="Segoe UI Emoji"/>
          <w:szCs w:val="32"/>
        </w:rPr>
        <w:t>㎡</w:t>
      </w:r>
      <w:r>
        <w:rPr>
          <w:rFonts w:hint="eastAsia" w:ascii="仿宋_GB2312" w:hAnsi="仿宋_GB2312" w:cs="仿宋_GB2312"/>
          <w:szCs w:val="32"/>
        </w:rPr>
        <w:t>、维修廊道等护栏约1000m，廊道地板、亲水平台地板200</w:t>
      </w:r>
      <w:r>
        <w:rPr>
          <w:rFonts w:hint="eastAsia" w:ascii="Segoe UI Emoji" w:hAnsi="Segoe UI Emoji" w:eastAsia="Segoe UI Emoji" w:cs="Segoe UI Emoji"/>
          <w:szCs w:val="32"/>
        </w:rPr>
        <w:t>㎡</w:t>
      </w:r>
      <w:r>
        <w:rPr>
          <w:rFonts w:hint="eastAsia" w:ascii="仿宋_GB2312" w:hAnsi="仿宋_GB2312" w:cs="仿宋_GB2312"/>
          <w:szCs w:val="32"/>
        </w:rPr>
        <w:t>，观鸟平台青石护栏和地板约60</w:t>
      </w:r>
      <w:r>
        <w:rPr>
          <w:rFonts w:hint="eastAsia" w:ascii="Segoe UI Emoji" w:hAnsi="Segoe UI Emoji" w:eastAsia="Segoe UI Emoji" w:cs="Segoe UI Emoji"/>
          <w:szCs w:val="32"/>
        </w:rPr>
        <w:t>㎡</w:t>
      </w:r>
      <w:r>
        <w:rPr>
          <w:rFonts w:hint="eastAsia" w:ascii="仿宋_GB2312" w:hAnsi="仿宋_GB2312" w:cs="仿宋_GB2312"/>
          <w:szCs w:val="32"/>
        </w:rPr>
        <w:t>等。</w:t>
      </w:r>
    </w:p>
    <w:p>
      <w:pPr>
        <w:spacing w:line="576" w:lineRule="exact"/>
        <w:ind w:firstLine="640" w:firstLineChars="200"/>
        <w:rPr>
          <w:rFonts w:ascii="仿宋_GB2312" w:hAnsi="仿宋_GB2312" w:cs="仿宋_GB2312"/>
        </w:rPr>
      </w:pPr>
      <w:r>
        <w:rPr>
          <w:rFonts w:hint="eastAsia" w:ascii="仿宋_GB2312" w:hAnsi="仿宋_GB2312" w:cs="仿宋_GB2312"/>
          <w:szCs w:val="32"/>
        </w:rPr>
        <w:t>（4）三大公园清扫保洁工作。做好公园内卫生死角、道路、河道及标识标牌等设施的清扫。园内环境卫生实现全覆盖，卫生秩序良好。</w:t>
      </w:r>
    </w:p>
    <w:p>
      <w:pPr>
        <w:pStyle w:val="13"/>
        <w:ind w:left="1280" w:hanging="640"/>
        <w:rPr>
          <w:lang w:val="zh-CN"/>
        </w:rPr>
      </w:pPr>
      <w:r>
        <w:rPr>
          <w:rFonts w:hint="eastAsia" w:ascii="仿宋_GB2312" w:hAnsi="仿宋_GB2312" w:cs="仿宋_GB2312"/>
        </w:rPr>
        <w:t>综上，自评得分9分。</w:t>
      </w:r>
    </w:p>
    <w:p>
      <w:pPr>
        <w:spacing w:line="576" w:lineRule="exact"/>
        <w:ind w:firstLine="640" w:firstLineChars="200"/>
        <w:rPr>
          <w:rFonts w:ascii="仿宋_GB2312" w:hAnsi="仿宋_GB2312" w:cs="仿宋_GB2312"/>
        </w:rPr>
      </w:pPr>
      <w:r>
        <w:rPr>
          <w:rFonts w:hint="eastAsia" w:ascii="仿宋_GB2312" w:hAnsi="仿宋_GB2312" w:cs="仿宋_GB2312"/>
          <w:szCs w:val="32"/>
        </w:rPr>
        <w:t>4.项目结果。在严格控制经济成本的情况下，打造了干净整洁的城市环境，增强居民群众的获得感、幸福感、安全感。自评得分9分。</w:t>
      </w:r>
    </w:p>
    <w:p>
      <w:pPr>
        <w:spacing w:line="578" w:lineRule="exact"/>
        <w:ind w:firstLine="640" w:firstLineChars="200"/>
        <w:rPr>
          <w:rFonts w:ascii="楷体_GB2312" w:hAnsi="楷体_GB2312" w:eastAsia="楷体_GB2312" w:cs="楷体_GB2312"/>
          <w:bCs/>
          <w:lang w:val="zh-CN"/>
        </w:rPr>
      </w:pPr>
      <w:r>
        <w:rPr>
          <w:rFonts w:hint="eastAsia" w:ascii="楷体_GB2312" w:hAnsi="宋体" w:eastAsia="楷体_GB2312"/>
          <w:bCs/>
          <w:szCs w:val="32"/>
          <w:lang w:val="zh-CN"/>
        </w:rPr>
        <w:t>（二）</w:t>
      </w:r>
      <w:r>
        <w:rPr>
          <w:rFonts w:hint="eastAsia" w:ascii="楷体_GB2312" w:hAnsi="宋体" w:eastAsia="楷体_GB2312"/>
          <w:bCs/>
          <w:szCs w:val="32"/>
        </w:rPr>
        <w:t>专用指标</w:t>
      </w:r>
      <w:r>
        <w:rPr>
          <w:rFonts w:eastAsia="楷体_GB2312"/>
          <w:bCs/>
          <w:color w:val="000000"/>
          <w:kern w:val="0"/>
          <w:szCs w:val="32"/>
          <w:shd w:val="clear" w:color="auto" w:fill="FFFFFF"/>
          <w:lang w:val="zh-CN"/>
        </w:rPr>
        <w:t>绩效分析。</w:t>
      </w:r>
      <w:r>
        <w:rPr>
          <w:rFonts w:hint="eastAsia" w:ascii="仿宋_GB2312" w:hAnsi="仿宋_GB2312" w:cs="仿宋_GB2312"/>
          <w:bCs/>
          <w:color w:val="000000" w:themeColor="text1"/>
          <w:szCs w:val="32"/>
          <w14:textFill>
            <w14:solidFill>
              <w14:schemeClr w14:val="tx1"/>
            </w14:solidFill>
          </w14:textFill>
        </w:rPr>
        <w:t>民生保障方面,本项目打造干净整洁的城市环境，增强居民群众的获得感、幸福感、安全感。</w:t>
      </w:r>
      <w:r>
        <w:rPr>
          <w:rFonts w:hint="eastAsia" w:ascii="仿宋_GB2312" w:hAnsi="仿宋_GB2312" w:cs="仿宋_GB2312"/>
          <w:bCs/>
          <w:color w:val="000000" w:themeColor="text1"/>
          <w:szCs w:val="40"/>
          <w14:textFill>
            <w14:solidFill>
              <w14:schemeClr w14:val="tx1"/>
            </w14:solidFill>
          </w14:textFill>
        </w:rPr>
        <w:t>实现城市自然资源和人文资源的增值，使城市的综合财富得到提高。自评得分30分。</w:t>
      </w:r>
    </w:p>
    <w:p>
      <w:pPr>
        <w:spacing w:line="578" w:lineRule="exact"/>
        <w:ind w:firstLine="640"/>
      </w:pPr>
      <w:r>
        <w:rPr>
          <w:rFonts w:hint="eastAsia" w:ascii="楷体_GB2312" w:hAnsi="宋体" w:eastAsia="楷体_GB2312"/>
          <w:bCs/>
          <w:szCs w:val="32"/>
          <w:lang w:val="zh-CN"/>
        </w:rPr>
        <w:t>（三）</w:t>
      </w:r>
      <w:r>
        <w:rPr>
          <w:rFonts w:hint="eastAsia" w:ascii="楷体_GB2312" w:hAnsi="宋体" w:eastAsia="楷体_GB2312"/>
          <w:bCs/>
          <w:szCs w:val="32"/>
        </w:rPr>
        <w:t>个性指标</w:t>
      </w:r>
      <w:r>
        <w:rPr>
          <w:rFonts w:eastAsia="楷体_GB2312"/>
          <w:bCs/>
          <w:color w:val="000000"/>
          <w:kern w:val="0"/>
          <w:szCs w:val="32"/>
          <w:shd w:val="clear" w:color="auto" w:fill="FFFFFF"/>
          <w:lang w:val="zh-CN"/>
        </w:rPr>
        <w:t>绩效分析。</w:t>
      </w:r>
      <w:r>
        <w:rPr>
          <w:rFonts w:ascii="仿宋_GB2312" w:hAnsi="仿宋_GB2312" w:cs="仿宋_GB2312"/>
          <w:bCs/>
          <w:szCs w:val="32"/>
          <w:lang w:val="zh-CN"/>
        </w:rPr>
        <w:t>项</w:t>
      </w:r>
      <w:r>
        <w:rPr>
          <w:rFonts w:ascii="仿宋_GB2312" w:hAnsi="仿宋_GB2312" w:cs="仿宋_GB2312"/>
          <w:szCs w:val="32"/>
          <w:lang w:val="zh-CN"/>
        </w:rPr>
        <w:t>目申报真实准确</w:t>
      </w:r>
      <w:r>
        <w:rPr>
          <w:rFonts w:hint="eastAsia" w:ascii="仿宋_GB2312" w:hAnsi="仿宋_GB2312" w:cs="仿宋_GB2312"/>
          <w:szCs w:val="32"/>
          <w:lang w:val="zh-CN"/>
        </w:rPr>
        <w:t>，项目资金支付使用情况合理合规。</w:t>
      </w:r>
      <w:r>
        <w:rPr>
          <w:rFonts w:hint="eastAsia" w:ascii="仿宋_GB2312" w:hAnsi="仿宋_GB2312" w:cs="仿宋_GB2312"/>
          <w:szCs w:val="32"/>
        </w:rPr>
        <w:t>自评得分16分。</w:t>
      </w:r>
    </w:p>
    <w:p>
      <w:pPr>
        <w:pStyle w:val="2"/>
        <w:spacing w:before="93" w:line="600" w:lineRule="exact"/>
        <w:ind w:firstLine="640" w:firstLineChars="200"/>
        <w:rPr>
          <w:rFonts w:ascii="黑体" w:hAnsi="宋体"/>
          <w:sz w:val="32"/>
          <w:szCs w:val="32"/>
        </w:rPr>
      </w:pPr>
      <w:r>
        <w:rPr>
          <w:rFonts w:hint="eastAsia" w:ascii="黑体" w:hAnsi="宋体" w:eastAsia="黑体"/>
          <w:sz w:val="32"/>
          <w:szCs w:val="32"/>
        </w:rPr>
        <w:t>四、评价结论</w:t>
      </w:r>
    </w:p>
    <w:p>
      <w:pPr>
        <w:pStyle w:val="2"/>
        <w:spacing w:before="93" w:line="600" w:lineRule="exact"/>
        <w:ind w:firstLine="640" w:firstLineChars="200"/>
        <w:rPr>
          <w:rFonts w:hAnsi="仿宋_GB2312" w:cs="仿宋_GB2312"/>
          <w:b/>
          <w:bCs/>
          <w:sz w:val="32"/>
          <w:szCs w:val="32"/>
        </w:rPr>
      </w:pPr>
      <w:r>
        <w:rPr>
          <w:rFonts w:hint="eastAsia" w:hAnsi="仿宋_GB2312" w:cs="仿宋_GB2312"/>
          <w:sz w:val="32"/>
          <w:szCs w:val="32"/>
        </w:rPr>
        <w:t>一是完成栖凤湖水面清漂工作。二是完成三大公园绿化管护工作。三是完成公园广场维修维护工作。四是完成三大公园清扫保洁工作。经评价小组认真、系统评价，项目实施较好，自评得分100分。</w:t>
      </w:r>
    </w:p>
    <w:p>
      <w:pPr>
        <w:pStyle w:val="2"/>
        <w:spacing w:before="93" w:line="600" w:lineRule="exact"/>
        <w:ind w:firstLine="640" w:firstLineChars="200"/>
        <w:rPr>
          <w:rFonts w:ascii="黑体" w:hAnsi="宋体" w:eastAsia="黑体"/>
          <w:sz w:val="32"/>
          <w:szCs w:val="32"/>
        </w:rPr>
      </w:pPr>
      <w:r>
        <w:rPr>
          <w:rFonts w:hint="eastAsia" w:ascii="黑体" w:hAnsi="宋体" w:eastAsia="黑体"/>
          <w:sz w:val="32"/>
          <w:szCs w:val="32"/>
        </w:rPr>
        <w:t>五、存在主要问题</w:t>
      </w:r>
    </w:p>
    <w:p>
      <w:pPr>
        <w:pStyle w:val="2"/>
        <w:spacing w:before="93" w:line="600" w:lineRule="exact"/>
        <w:ind w:firstLine="640" w:firstLineChars="200"/>
        <w:rPr>
          <w:rFonts w:ascii="黑体" w:hAnsi="黑体" w:cs="黑体"/>
          <w:kern w:val="2"/>
          <w:sz w:val="32"/>
          <w:szCs w:val="32"/>
        </w:rPr>
      </w:pPr>
      <w:r>
        <w:rPr>
          <w:rFonts w:hint="eastAsia" w:hAnsi="仿宋_GB2312" w:cs="仿宋_GB2312"/>
          <w:sz w:val="32"/>
          <w:szCs w:val="32"/>
        </w:rPr>
        <w:t>专项预算项目绩效指标设置需加强。</w:t>
      </w:r>
    </w:p>
    <w:p>
      <w:pPr>
        <w:pStyle w:val="2"/>
        <w:spacing w:before="93" w:line="600" w:lineRule="exact"/>
        <w:ind w:firstLine="640" w:firstLineChars="200"/>
        <w:rPr>
          <w:rFonts w:ascii="黑体" w:hAnsi="宋体"/>
          <w:sz w:val="32"/>
          <w:szCs w:val="32"/>
          <w:lang w:val="zh-CN"/>
        </w:rPr>
      </w:pPr>
      <w:r>
        <w:rPr>
          <w:rFonts w:hint="eastAsia" w:ascii="黑体" w:hAnsi="宋体" w:eastAsia="黑体"/>
          <w:position w:val="3"/>
          <w:sz w:val="32"/>
          <w:szCs w:val="32"/>
          <w:lang w:val="zh-CN"/>
        </w:rPr>
        <w:t>六、改进建议</w:t>
      </w:r>
    </w:p>
    <w:p>
      <w:pPr>
        <w:tabs>
          <w:tab w:val="left" w:pos="1911"/>
        </w:tabs>
        <w:jc w:val="left"/>
        <w:rPr>
          <w:rFonts w:ascii="仿宋_GB2312" w:hAnsi="仿宋_GB2312" w:cs="仿宋_GB2312"/>
          <w:kern w:val="0"/>
          <w:lang w:val="en"/>
        </w:rPr>
      </w:pPr>
      <w:r>
        <w:rPr>
          <w:rFonts w:hint="eastAsia" w:ascii="仿宋_GB2312" w:hAnsi="仿宋_GB2312" w:cs="仿宋_GB2312"/>
          <w:kern w:val="0"/>
          <w:szCs w:val="32"/>
          <w:shd w:val="clear" w:color="auto" w:fill="FFFFFF"/>
          <w:lang w:val="zh-CN"/>
        </w:rPr>
        <w:t xml:space="preserve"> </w:t>
      </w:r>
      <w:r>
        <w:rPr>
          <w:rFonts w:hint="eastAsia" w:ascii="仿宋_GB2312" w:hAnsi="仿宋_GB2312" w:cs="仿宋_GB2312"/>
          <w:kern w:val="0"/>
          <w:szCs w:val="32"/>
        </w:rPr>
        <w:t xml:space="preserve">   </w:t>
      </w:r>
      <w:r>
        <w:rPr>
          <w:rFonts w:hint="eastAsia" w:ascii="仿宋_GB2312" w:hAnsi="仿宋_GB2312" w:cs="仿宋_GB2312"/>
          <w:szCs w:val="32"/>
        </w:rPr>
        <w:t>加强对申报项目的培训学习，使项目编制更加符合绩效评价相关要求，牢固树立绩效管理理念，同时进一步提高绩效评价工作方式、方法</w:t>
      </w:r>
      <w:r>
        <w:rPr>
          <w:rFonts w:hint="eastAsia"/>
          <w:lang w:val="en"/>
        </w:rPr>
        <w:t>。</w:t>
      </w:r>
    </w:p>
    <w:p>
      <w:pPr>
        <w:pStyle w:val="2"/>
        <w:tabs>
          <w:tab w:val="left" w:pos="1911"/>
        </w:tabs>
        <w:spacing w:before="93" w:line="576" w:lineRule="exact"/>
      </w:pPr>
    </w:p>
    <w:p>
      <w:pPr>
        <w:pStyle w:val="2"/>
        <w:tabs>
          <w:tab w:val="left" w:pos="1911"/>
        </w:tabs>
        <w:spacing w:before="93" w:line="576" w:lineRule="exact"/>
      </w:pPr>
    </w:p>
    <w:p>
      <w:pPr>
        <w:pStyle w:val="15"/>
        <w:widowControl/>
        <w:spacing w:beforeAutospacing="0" w:afterAutospacing="0" w:line="576" w:lineRule="exact"/>
        <w:jc w:val="center"/>
        <w:rPr>
          <w:rFonts w:ascii="方正小标宋简体" w:hAnsi="方正小标宋_GBK" w:eastAsia="方正小标宋简体" w:cs="方正小标宋_GBK"/>
          <w:color w:val="000000" w:themeColor="text1"/>
          <w:kern w:val="2"/>
          <w:sz w:val="44"/>
          <w:szCs w:val="44"/>
          <w:lang w:bidi="ar"/>
          <w14:textFill>
            <w14:solidFill>
              <w14:schemeClr w14:val="tx1"/>
            </w14:solidFill>
          </w14:textFill>
        </w:rPr>
      </w:pPr>
      <w:r>
        <w:rPr>
          <w:rFonts w:hint="eastAsia" w:ascii="方正小标宋简体" w:hAnsi="方正小标宋_GBK" w:eastAsia="方正小标宋简体" w:cs="方正小标宋_GBK"/>
          <w:color w:val="000000" w:themeColor="text1"/>
          <w:kern w:val="2"/>
          <w:sz w:val="44"/>
          <w:szCs w:val="44"/>
          <w:lang w:bidi="ar"/>
          <w14:textFill>
            <w14:solidFill>
              <w14:schemeClr w14:val="tx1"/>
            </w14:solidFill>
          </w14:textFill>
        </w:rPr>
        <w:t>黑石坡康养度假区马家坡征地拆迁补偿</w:t>
      </w:r>
    </w:p>
    <w:p>
      <w:pPr>
        <w:pStyle w:val="15"/>
        <w:widowControl/>
        <w:spacing w:beforeAutospacing="0" w:afterAutospacing="0" w:line="576" w:lineRule="exact"/>
        <w:jc w:val="center"/>
        <w:rPr>
          <w:rFonts w:ascii="方正小标宋简体" w:hAnsi="宋体" w:eastAsia="方正小标宋简体"/>
          <w:kern w:val="2"/>
          <w:sz w:val="32"/>
        </w:rPr>
      </w:pPr>
      <w:r>
        <w:rPr>
          <w:rFonts w:hint="eastAsia" w:ascii="方正小标宋简体" w:hAnsi="方正小标宋_GBK" w:eastAsia="方正小标宋简体" w:cs="方正小标宋_GBK"/>
          <w:color w:val="000000" w:themeColor="text1"/>
          <w:kern w:val="2"/>
          <w:sz w:val="44"/>
          <w:szCs w:val="44"/>
          <w:lang w:bidi="ar"/>
          <w14:textFill>
            <w14:solidFill>
              <w14:schemeClr w14:val="tx1"/>
            </w14:solidFill>
          </w14:textFill>
        </w:rPr>
        <w:t>项目绩效自评报告</w:t>
      </w:r>
    </w:p>
    <w:p>
      <w:pPr>
        <w:adjustRightInd w:val="0"/>
        <w:snapToGrid w:val="0"/>
        <w:spacing w:line="576" w:lineRule="exact"/>
        <w:ind w:firstLine="640" w:firstLineChars="200"/>
        <w:rPr>
          <w:rFonts w:ascii="黑体" w:hAnsi="宋体" w:eastAsia="黑体"/>
          <w:color w:val="000000" w:themeColor="text1"/>
          <w:lang w:val="zh-CN"/>
          <w14:textFill>
            <w14:solidFill>
              <w14:schemeClr w14:val="tx1"/>
            </w14:solidFill>
          </w14:textFill>
        </w:rPr>
      </w:pPr>
      <w:r>
        <w:rPr>
          <w:rFonts w:hint="eastAsia" w:ascii="黑体" w:hAnsi="宋体" w:eastAsia="黑体"/>
          <w:color w:val="000000" w:themeColor="text1"/>
          <w14:textFill>
            <w14:solidFill>
              <w14:schemeClr w14:val="tx1"/>
            </w14:solidFill>
          </w14:textFill>
        </w:rPr>
        <w:t>一、</w:t>
      </w:r>
      <w:r>
        <w:rPr>
          <w:rFonts w:hint="eastAsia" w:ascii="黑体" w:hAnsi="宋体" w:eastAsia="黑体"/>
          <w:color w:val="000000" w:themeColor="text1"/>
          <w:lang w:val="zh-CN"/>
          <w14:textFill>
            <w14:solidFill>
              <w14:schemeClr w14:val="tx1"/>
            </w14:solidFill>
          </w14:textFill>
        </w:rPr>
        <w:t>项目概况</w:t>
      </w:r>
    </w:p>
    <w:p>
      <w:pPr>
        <w:snapToGrid w:val="0"/>
        <w:spacing w:line="576" w:lineRule="exact"/>
        <w:ind w:firstLine="640" w:firstLineChars="200"/>
        <w:rPr>
          <w:rFonts w:ascii="仿宋_GB2312" w:hAnsi="宋体"/>
        </w:rPr>
      </w:pPr>
      <w:r>
        <w:rPr>
          <w:rFonts w:hint="eastAsia" w:ascii="楷体_GB2312" w:hAnsi="宋体" w:eastAsia="楷体_GB2312"/>
          <w:color w:val="000000" w:themeColor="text1"/>
          <w:szCs w:val="32"/>
          <w:lang w:val="zh-CN"/>
          <w14:textFill>
            <w14:solidFill>
              <w14:schemeClr w14:val="tx1"/>
            </w14:solidFill>
          </w14:textFill>
        </w:rPr>
        <w:t>（一）项目基本情况</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马家坡阜康大道西侧樵歌路北侧经营性用地项目位于雪峰街道樵歌社区雪莲及西屯居民小组，规划用地219.01亩，已经市土地及矿产资源管理委员会2023年第9次会议审议通过。依据市土地储备交易中心提供的用地红线图和勘测定界报告，该地块土地性质为经营性用地，面积为219.01亩。</w:t>
      </w:r>
    </w:p>
    <w:p>
      <w:pPr>
        <w:snapToGrid w:val="0"/>
        <w:spacing w:line="576" w:lineRule="exact"/>
        <w:ind w:firstLine="640" w:firstLineChars="200"/>
        <w:rPr>
          <w:rFonts w:ascii="楷体_GB2312" w:hAnsi="宋体" w:eastAsia="楷体_GB2312"/>
          <w:color w:val="000000" w:themeColor="text1"/>
          <w:lang w:val="zh-CN"/>
          <w14:textFill>
            <w14:solidFill>
              <w14:schemeClr w14:val="tx1"/>
            </w14:solidFill>
          </w14:textFill>
        </w:rPr>
      </w:pPr>
      <w:r>
        <w:rPr>
          <w:rFonts w:hint="eastAsia" w:ascii="楷体_GB2312" w:hAnsi="宋体" w:eastAsia="楷体_GB2312"/>
          <w:color w:val="000000" w:themeColor="text1"/>
          <w:szCs w:val="32"/>
          <w14:textFill>
            <w14:solidFill>
              <w14:schemeClr w14:val="tx1"/>
            </w14:solidFill>
          </w14:textFill>
        </w:rPr>
        <w:t>（二）</w:t>
      </w:r>
      <w:r>
        <w:rPr>
          <w:rFonts w:ascii="楷体_GB2312" w:hAnsi="宋体" w:eastAsia="楷体_GB2312"/>
          <w:color w:val="000000" w:themeColor="text1"/>
          <w:szCs w:val="32"/>
          <w14:textFill>
            <w14:solidFill>
              <w14:schemeClr w14:val="tx1"/>
            </w14:solidFill>
          </w14:textFill>
        </w:rPr>
        <w:t>实施目的及支持方向</w:t>
      </w:r>
    </w:p>
    <w:p>
      <w:pPr>
        <w:adjustRightInd w:val="0"/>
        <w:snapToGrid w:val="0"/>
        <w:spacing w:line="576" w:lineRule="exact"/>
        <w:ind w:firstLine="640" w:firstLineChars="200"/>
        <w:rPr>
          <w:rFonts w:ascii="仿宋_GB2312" w:hAnsi="方正仿宋_GB2312" w:cs="方正仿宋_GB2312"/>
          <w:lang w:val="zh-CN"/>
        </w:rPr>
      </w:pPr>
      <w:r>
        <w:rPr>
          <w:rFonts w:hint="eastAsia" w:ascii="仿宋_GB2312" w:hAnsi="方正仿宋_GB2312" w:cs="方正仿宋_GB2312"/>
          <w:szCs w:val="32"/>
        </w:rPr>
        <w:t>1.</w:t>
      </w:r>
      <w:r>
        <w:rPr>
          <w:rFonts w:hint="eastAsia" w:ascii="仿宋_GB2312" w:hAnsi="方正仿宋_GB2312" w:cs="方正仿宋_GB2312"/>
          <w:szCs w:val="32"/>
          <w:lang w:val="zh-CN"/>
        </w:rPr>
        <w:t>项目主要内容</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主要内容是黑石坡康养度假区马家坡征地拆迁补偿项目征拆。</w:t>
      </w:r>
    </w:p>
    <w:p>
      <w:pPr>
        <w:adjustRightInd w:val="0"/>
        <w:snapToGrid w:val="0"/>
        <w:spacing w:line="576" w:lineRule="exact"/>
        <w:ind w:firstLine="640" w:firstLineChars="200"/>
        <w:rPr>
          <w:rFonts w:ascii="仿宋_GB2312" w:hAnsi="方正仿宋_GB2312" w:cs="方正仿宋_GB2312"/>
          <w:lang w:val="zh-CN"/>
        </w:rPr>
      </w:pPr>
      <w:r>
        <w:rPr>
          <w:rFonts w:hint="eastAsia" w:ascii="仿宋_GB2312" w:hAnsi="方正仿宋_GB2312" w:cs="方正仿宋_GB2312"/>
          <w:szCs w:val="32"/>
        </w:rPr>
        <w:t>2.</w:t>
      </w:r>
      <w:r>
        <w:rPr>
          <w:rFonts w:hint="eastAsia" w:ascii="仿宋_GB2312" w:hAnsi="方正仿宋_GB2312" w:cs="方正仿宋_GB2312"/>
          <w:szCs w:val="32"/>
          <w:lang w:val="zh-CN"/>
        </w:rPr>
        <w:t>项目实施目的</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lang w:val="zh-CN"/>
        </w:rPr>
        <w:t>确保马家坡阜康大道西侧樵歌路北侧经营性用地尽快净地移交、顺利进场施工，切实保障群众合法权益，</w:t>
      </w:r>
      <w:r>
        <w:rPr>
          <w:rFonts w:hint="eastAsia" w:ascii="仿宋_GB2312" w:hAnsi="方正仿宋_GB2312" w:cs="方正仿宋_GB2312"/>
          <w:szCs w:val="32"/>
        </w:rPr>
        <w:t>推进项目后续进展。</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3.支持方向</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该资金来源为黑石坡前期土地出让金返还款，该项目属于公共财政支持范围，筹资渠道符合法律法规规定，筹资结构合理，资金来源渠道明确。</w:t>
      </w:r>
    </w:p>
    <w:p>
      <w:pPr>
        <w:widowControl/>
        <w:tabs>
          <w:tab w:val="left" w:pos="5550"/>
        </w:tabs>
        <w:adjustRightInd w:val="0"/>
        <w:snapToGrid w:val="0"/>
        <w:spacing w:line="576" w:lineRule="exact"/>
        <w:ind w:firstLine="640" w:firstLineChars="200"/>
        <w:contextualSpacing/>
        <w:jc w:val="left"/>
        <w:rPr>
          <w:rFonts w:ascii="仿宋_GB2312" w:hAnsi="仿宋_GB2312" w:cs="仿宋_GB2312"/>
          <w:bCs/>
          <w:kern w:val="0"/>
          <w:shd w:val="clear" w:color="auto" w:fill="FFFFFF"/>
          <w:lang w:val="zh-CN"/>
        </w:rPr>
      </w:pPr>
      <w:r>
        <w:rPr>
          <w:rFonts w:hint="eastAsia" w:ascii="楷体_GB2312" w:hAnsi="宋体" w:eastAsia="楷体_GB2312"/>
          <w:bCs/>
          <w:szCs w:val="32"/>
        </w:rPr>
        <w:t>（三）</w:t>
      </w:r>
      <w:r>
        <w:rPr>
          <w:rFonts w:ascii="楷体_GB2312" w:hAnsi="宋体" w:eastAsia="楷体_GB2312"/>
          <w:bCs/>
          <w:szCs w:val="32"/>
        </w:rPr>
        <w:t>预算安排及分配管理</w:t>
      </w:r>
      <w:r>
        <w:rPr>
          <w:rFonts w:ascii="楷体_GB2312" w:hAnsi="宋体" w:eastAsia="楷体_GB2312"/>
          <w:bCs/>
          <w:szCs w:val="32"/>
          <w:lang w:val="zh-CN"/>
        </w:rPr>
        <w:tab/>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本项目预算金额为3304.6427万元，本次申请急需拨付资金金额为1104.6427万元，</w:t>
      </w:r>
      <w:r>
        <w:rPr>
          <w:rFonts w:hint="eastAsia" w:ascii="仿宋_GB2312" w:hAnsi="方正仿宋_GB2312" w:cs="方正仿宋_GB2312"/>
          <w:szCs w:val="32"/>
          <w:lang w:val="zh-CN"/>
        </w:rPr>
        <w:t>项目资金的分配始终坚持一个原则：确保马家坡阜用地尽快净地移交、顺利进场施工，</w:t>
      </w:r>
      <w:r>
        <w:rPr>
          <w:rFonts w:hint="eastAsia" w:ascii="仿宋_GB2312" w:hAnsi="方正仿宋_GB2312" w:cs="方正仿宋_GB2312"/>
          <w:szCs w:val="32"/>
        </w:rPr>
        <w:t>推进项目后续进展。</w:t>
      </w:r>
    </w:p>
    <w:p>
      <w:pPr>
        <w:adjustRightInd w:val="0"/>
        <w:snapToGrid w:val="0"/>
        <w:spacing w:line="576" w:lineRule="exact"/>
        <w:ind w:left="643"/>
        <w:rPr>
          <w:bCs/>
          <w:lang w:val="zh-CN"/>
        </w:rPr>
      </w:pPr>
      <w:r>
        <w:rPr>
          <w:rFonts w:hint="eastAsia" w:ascii="楷体_GB2312" w:hAnsi="宋体" w:eastAsia="楷体_GB2312"/>
          <w:bCs/>
          <w:szCs w:val="32"/>
          <w:lang w:val="zh-CN"/>
        </w:rPr>
        <w:t>（四）项目绩效目标设置</w:t>
      </w:r>
    </w:p>
    <w:p>
      <w:pPr>
        <w:adjustRightInd w:val="0"/>
        <w:snapToGrid w:val="0"/>
        <w:spacing w:line="576" w:lineRule="exact"/>
        <w:ind w:firstLine="640" w:firstLineChars="200"/>
        <w:rPr>
          <w:rFonts w:ascii="仿宋_GB2312" w:hAnsi="方正仿宋_GB2312" w:cs="方正仿宋_GB2312"/>
          <w:lang w:val="zh-CN"/>
        </w:rPr>
      </w:pPr>
      <w:r>
        <w:rPr>
          <w:rFonts w:hint="eastAsia" w:ascii="仿宋_GB2312" w:hAnsi="方正仿宋_GB2312" w:cs="方正仿宋_GB2312"/>
          <w:szCs w:val="32"/>
        </w:rPr>
        <w:t>1.</w:t>
      </w:r>
      <w:r>
        <w:rPr>
          <w:rFonts w:hint="eastAsia" w:ascii="仿宋_GB2312" w:hAnsi="方正仿宋_GB2312" w:cs="方正仿宋_GB2312"/>
          <w:szCs w:val="32"/>
          <w:lang w:val="zh-CN"/>
        </w:rPr>
        <w:t>绩效目标设置情况。项目绩效目标设置量化可考核，与部门的长期规划目标、年度工作目标相一致，绩效指标可细化、量化，绩效目标和绩效指标契合政策和项目实质，产出和效果相关联，对满意度指标进行了量化预测，绩效目标具有一定前瞻性和挑战性，绩效目标和绩效指标匹配，绩效指标设计全面完整。</w:t>
      </w:r>
    </w:p>
    <w:p>
      <w:pPr>
        <w:adjustRightInd w:val="0"/>
        <w:snapToGrid w:val="0"/>
        <w:spacing w:line="576" w:lineRule="exact"/>
        <w:ind w:firstLine="640" w:firstLineChars="200"/>
        <w:rPr>
          <w:rFonts w:ascii="仿宋_GB2312" w:hAnsi="方正仿宋_GB2312" w:cs="方正仿宋_GB2312"/>
          <w:lang w:val="zh-CN"/>
        </w:rPr>
      </w:pPr>
      <w:r>
        <w:rPr>
          <w:rFonts w:hint="eastAsia" w:ascii="仿宋_GB2312" w:hAnsi="方正仿宋_GB2312" w:cs="方正仿宋_GB2312"/>
          <w:szCs w:val="32"/>
        </w:rPr>
        <w:t>2.</w:t>
      </w:r>
      <w:r>
        <w:rPr>
          <w:rFonts w:hint="eastAsia" w:ascii="仿宋_GB2312" w:hAnsi="方正仿宋_GB2312" w:cs="方正仿宋_GB2312"/>
          <w:szCs w:val="32"/>
          <w:lang w:val="zh-CN"/>
        </w:rPr>
        <w:t>项目自评工作开展情况。单位</w:t>
      </w:r>
      <w:r>
        <w:rPr>
          <w:rFonts w:hint="eastAsia" w:ascii="仿宋_GB2312" w:hAnsi="方正仿宋_GB2312" w:cs="方正仿宋_GB2312"/>
          <w:szCs w:val="32"/>
          <w:lang w:val="en"/>
        </w:rPr>
        <w:t>根据项目合同书或验收要求，建立自评指标和标准；然后对照指标和标准，组织相关人员对项目实施的过程及提交的成果，按照各个指标和标准进行了自评。</w:t>
      </w:r>
    </w:p>
    <w:p>
      <w:pPr>
        <w:adjustRightInd w:val="0"/>
        <w:snapToGrid w:val="0"/>
        <w:spacing w:line="576" w:lineRule="exact"/>
        <w:ind w:firstLine="640" w:firstLineChars="200"/>
        <w:rPr>
          <w:rFonts w:ascii="黑体" w:hAnsi="宋体" w:eastAsia="黑体"/>
        </w:rPr>
      </w:pPr>
      <w:r>
        <w:rPr>
          <w:rFonts w:hint="eastAsia" w:ascii="黑体" w:hAnsi="宋体" w:eastAsia="黑体"/>
        </w:rPr>
        <w:t>二、评价实施</w:t>
      </w:r>
    </w:p>
    <w:p>
      <w:pPr>
        <w:spacing w:line="576" w:lineRule="exact"/>
        <w:ind w:firstLine="640"/>
        <w:rPr>
          <w:rFonts w:ascii="楷体_GB2312" w:hAnsi="宋体" w:eastAsia="楷体_GB2312"/>
          <w:bCs/>
          <w:lang w:val="zh-CN"/>
        </w:rPr>
      </w:pPr>
      <w:r>
        <w:rPr>
          <w:rFonts w:hint="eastAsia" w:ascii="楷体_GB2312" w:hAnsi="宋体" w:eastAsia="楷体_GB2312"/>
          <w:bCs/>
          <w:szCs w:val="32"/>
          <w:lang w:val="zh-CN"/>
        </w:rPr>
        <w:t>（一）评价目的</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通过项目绩效自评来核查此项目是否达到预期目标，从而完善内部管理流程，强化预算支出的责任和效率。</w:t>
      </w:r>
    </w:p>
    <w:p>
      <w:pPr>
        <w:spacing w:line="576" w:lineRule="exact"/>
        <w:ind w:firstLine="640"/>
        <w:rPr>
          <w:rFonts w:ascii="方正仿宋_GB2312" w:hAnsi="方正仿宋_GB2312" w:eastAsia="方正仿宋_GB2312" w:cs="方正仿宋_GB2312"/>
        </w:rPr>
      </w:pPr>
      <w:r>
        <w:rPr>
          <w:rFonts w:hint="eastAsia" w:ascii="楷体_GB2312" w:hAnsi="宋体" w:eastAsia="楷体_GB2312"/>
          <w:bCs/>
          <w:szCs w:val="32"/>
          <w:lang w:val="zh-CN"/>
        </w:rPr>
        <w:t>（二）预设问题及评价重点。</w:t>
      </w:r>
      <w:r>
        <w:rPr>
          <w:rFonts w:hint="eastAsia" w:ascii="仿宋_GB2312" w:hAnsi="方正仿宋_GB2312" w:cs="方正仿宋_GB2312"/>
          <w:szCs w:val="32"/>
          <w:lang w:val="zh-CN"/>
        </w:rPr>
        <w:t>根据项目实际情况，</w:t>
      </w:r>
      <w:r>
        <w:rPr>
          <w:rFonts w:hint="eastAsia" w:ascii="仿宋_GB2312" w:hAnsi="方正仿宋_GB2312" w:cs="方正仿宋_GB2312"/>
          <w:szCs w:val="32"/>
        </w:rPr>
        <w:t>将指标评价体系中的项目管理作为评价重点；将资金使用拨付、项目实施是否符合规定作为预设问题。</w:t>
      </w:r>
    </w:p>
    <w:p>
      <w:pPr>
        <w:adjustRightInd w:val="0"/>
        <w:snapToGrid w:val="0"/>
        <w:spacing w:line="576" w:lineRule="exact"/>
        <w:ind w:firstLine="640" w:firstLineChars="200"/>
        <w:rPr>
          <w:rFonts w:ascii="方正仿宋_GB2312" w:hAnsi="方正仿宋_GB2312" w:eastAsia="方正仿宋_GB2312" w:cs="方正仿宋_GB2312"/>
          <w:bCs/>
          <w:lang w:val="zh-CN"/>
        </w:rPr>
      </w:pPr>
      <w:r>
        <w:rPr>
          <w:rFonts w:hint="eastAsia" w:ascii="楷体_GB2312" w:hAnsi="宋体" w:eastAsia="楷体_GB2312"/>
          <w:bCs/>
          <w:szCs w:val="32"/>
          <w:lang w:val="zh-CN"/>
        </w:rPr>
        <w:t>（三）评价选点。</w:t>
      </w:r>
      <w:r>
        <w:rPr>
          <w:rFonts w:hint="eastAsia" w:ascii="仿宋_GB2312" w:hAnsi="方正仿宋_GB2312" w:cs="方正仿宋_GB2312"/>
          <w:bCs/>
          <w:szCs w:val="32"/>
          <w:lang w:val="zh-CN"/>
        </w:rPr>
        <w:t>主要对资金使用情况进行抽查。</w:t>
      </w:r>
    </w:p>
    <w:p>
      <w:pPr>
        <w:spacing w:line="576" w:lineRule="exact"/>
        <w:ind w:firstLine="640"/>
        <w:rPr>
          <w:rFonts w:ascii="方正仿宋_GB2312" w:hAnsi="方正仿宋_GB2312" w:eastAsia="方正仿宋_GB2312" w:cs="方正仿宋_GB2312"/>
          <w:bCs/>
          <w:lang w:val="zh-CN"/>
        </w:rPr>
      </w:pPr>
      <w:r>
        <w:rPr>
          <w:rFonts w:hint="eastAsia" w:ascii="楷体_GB2312" w:hAnsi="宋体" w:eastAsia="楷体_GB2312"/>
          <w:bCs/>
          <w:szCs w:val="32"/>
          <w:lang w:val="zh-CN"/>
        </w:rPr>
        <w:t>（四）评价方法。</w:t>
      </w:r>
      <w:r>
        <w:rPr>
          <w:rFonts w:hint="eastAsia" w:ascii="仿宋_GB2312" w:hAnsi="方正仿宋_GB2312" w:cs="方正仿宋_GB2312"/>
          <w:bCs/>
          <w:szCs w:val="32"/>
          <w:lang w:val="zh-CN"/>
        </w:rPr>
        <w:t>采用单位自评法。</w:t>
      </w:r>
    </w:p>
    <w:p>
      <w:pPr>
        <w:spacing w:line="576" w:lineRule="exact"/>
        <w:ind w:firstLine="640"/>
        <w:rPr>
          <w:rFonts w:ascii="仿宋_GB2312" w:hAnsi="方正仿宋_GB2312" w:cs="方正仿宋_GB2312"/>
          <w:lang w:val="zh-CN"/>
        </w:rPr>
      </w:pPr>
      <w:r>
        <w:rPr>
          <w:rFonts w:hint="eastAsia" w:ascii="楷体_GB2312" w:hAnsi="宋体" w:eastAsia="楷体_GB2312"/>
          <w:bCs/>
          <w:szCs w:val="32"/>
          <w:lang w:val="zh-CN"/>
        </w:rPr>
        <w:t>（五）评价组织。</w:t>
      </w:r>
      <w:r>
        <w:rPr>
          <w:rFonts w:hint="eastAsia" w:ascii="仿宋_GB2312" w:hAnsi="方正仿宋_GB2312" w:cs="方正仿宋_GB2312"/>
          <w:bCs/>
          <w:szCs w:val="32"/>
          <w:lang w:val="zh-CN"/>
        </w:rPr>
        <w:t>组建项目评价小组，单位负责人为组长，负责自评全面工作；分</w:t>
      </w:r>
      <w:r>
        <w:rPr>
          <w:rFonts w:hint="eastAsia" w:ascii="仿宋_GB2312" w:hAnsi="方正仿宋_GB2312" w:cs="方正仿宋_GB2312"/>
          <w:szCs w:val="32"/>
          <w:lang w:val="zh-CN"/>
        </w:rPr>
        <w:t>管领导为副组长，负责安排实施各板块工作、相关部门负责人为成员，负责评价具体工作。</w:t>
      </w:r>
    </w:p>
    <w:p>
      <w:pPr>
        <w:adjustRightInd w:val="0"/>
        <w:snapToGrid w:val="0"/>
        <w:spacing w:line="576"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6" w:lineRule="exact"/>
        <w:ind w:firstLine="640"/>
        <w:rPr>
          <w:rFonts w:ascii="楷体_GB2312" w:hAnsi="宋体" w:eastAsia="楷体_GB2312"/>
          <w:bCs/>
        </w:rPr>
      </w:pPr>
      <w:r>
        <w:rPr>
          <w:rFonts w:hint="eastAsia" w:ascii="楷体_GB2312" w:hAnsi="宋体" w:eastAsia="楷体_GB2312"/>
          <w:bCs/>
          <w:szCs w:val="32"/>
          <w:lang w:val="zh-CN"/>
        </w:rPr>
        <w:t>（一）</w:t>
      </w:r>
      <w:r>
        <w:rPr>
          <w:rFonts w:hint="eastAsia" w:ascii="楷体_GB2312" w:hAnsi="宋体" w:eastAsia="楷体_GB2312"/>
          <w:bCs/>
          <w:szCs w:val="32"/>
        </w:rPr>
        <w:t>通用指标</w:t>
      </w:r>
      <w:r>
        <w:rPr>
          <w:rFonts w:ascii="楷体_GB2312" w:hAnsi="宋体" w:eastAsia="楷体_GB2312"/>
          <w:bCs/>
          <w:szCs w:val="32"/>
          <w:lang w:val="zh-CN"/>
        </w:rPr>
        <w:t>绩效分析</w:t>
      </w:r>
    </w:p>
    <w:p>
      <w:pPr>
        <w:spacing w:line="576" w:lineRule="exact"/>
        <w:ind w:firstLine="640"/>
        <w:rPr>
          <w:rFonts w:ascii="仿宋_GB2312" w:hAnsi="方正仿宋_GB2312" w:cs="方正仿宋_GB2312"/>
        </w:rPr>
      </w:pPr>
      <w:r>
        <w:rPr>
          <w:rFonts w:hint="eastAsia" w:ascii="仿宋_GB2312" w:hAnsi="方正仿宋_GB2312" w:cs="方正仿宋_GB2312"/>
          <w:szCs w:val="32"/>
        </w:rPr>
        <w:t>1.项目决策。项目设立、调整延续等方面符合资金管理基本规范和决策程序要求；项目规划符合党中央国务院、省委省政府、市委市政府有关决策部署安排，项目资金与项目总体规划、相关行业事业发展相匹配。绩效目标科学合理、规范完整、量化细化、与预算匹配。自评得分18分。</w:t>
      </w:r>
    </w:p>
    <w:p>
      <w:pPr>
        <w:spacing w:line="576" w:lineRule="exact"/>
        <w:ind w:firstLine="640"/>
        <w:rPr>
          <w:rFonts w:ascii="仿宋_GB2312" w:hAnsi="方正仿宋_GB2312" w:cs="方正仿宋_GB2312"/>
          <w:lang w:val="zh-CN"/>
        </w:rPr>
      </w:pPr>
      <w:r>
        <w:rPr>
          <w:rFonts w:hint="eastAsia" w:ascii="仿宋_GB2312" w:hAnsi="方正仿宋_GB2312" w:cs="方正仿宋_GB2312"/>
          <w:szCs w:val="32"/>
        </w:rPr>
        <w:t>2.项目管理。</w:t>
      </w:r>
      <w:r>
        <w:rPr>
          <w:rFonts w:hint="eastAsia" w:ascii="仿宋_GB2312" w:hAnsi="方正仿宋_GB2312" w:cs="方正仿宋_GB2312"/>
          <w:szCs w:val="32"/>
          <w:lang w:val="zh-CN"/>
        </w:rPr>
        <w:t>项目资金分配合理，项目管理、审批符合管理要求；项目绩效监管均按要求开展。自评得分</w:t>
      </w:r>
      <w:r>
        <w:rPr>
          <w:rFonts w:hint="eastAsia" w:ascii="仿宋_GB2312" w:hAnsi="方正仿宋_GB2312" w:cs="方正仿宋_GB2312"/>
          <w:szCs w:val="32"/>
        </w:rPr>
        <w:t>18分。</w:t>
      </w:r>
    </w:p>
    <w:p>
      <w:pPr>
        <w:spacing w:line="576" w:lineRule="exact"/>
        <w:ind w:firstLine="640"/>
        <w:rPr>
          <w:rFonts w:ascii="仿宋_GB2312" w:hAnsi="方正仿宋_GB2312" w:cs="方正仿宋_GB2312"/>
        </w:rPr>
      </w:pPr>
      <w:r>
        <w:rPr>
          <w:rFonts w:hint="eastAsia" w:ascii="仿宋_GB2312" w:hAnsi="方正仿宋_GB2312" w:cs="方正仿宋_GB2312"/>
          <w:szCs w:val="32"/>
        </w:rPr>
        <w:t>3.项目实施</w:t>
      </w:r>
      <w:r>
        <w:rPr>
          <w:rFonts w:hint="eastAsia" w:ascii="仿宋_GB2312" w:hAnsi="方正仿宋_GB2312" w:cs="方正仿宋_GB2312"/>
        </w:rPr>
        <w:t>。</w:t>
      </w:r>
      <w:r>
        <w:rPr>
          <w:rFonts w:hint="eastAsia" w:ascii="仿宋_GB2312" w:hAnsi="方正仿宋_GB2312" w:cs="方正仿宋_GB2312"/>
          <w:szCs w:val="32"/>
        </w:rPr>
        <w:t>完成了</w:t>
      </w:r>
      <w:r>
        <w:rPr>
          <w:rFonts w:hint="eastAsia" w:ascii="仿宋_GB2312" w:hAnsi="方正仿宋_GB2312" w:cs="方正仿宋_GB2312"/>
          <w:szCs w:val="32"/>
          <w:lang w:val="zh-CN"/>
        </w:rPr>
        <w:t>马家坡阜康大道西侧樵歌路北侧经营性用</w:t>
      </w:r>
      <w:r>
        <w:rPr>
          <w:rFonts w:hint="eastAsia" w:ascii="仿宋_GB2312" w:hAnsi="方正仿宋_GB2312" w:cs="方正仿宋_GB2312"/>
          <w:szCs w:val="32"/>
        </w:rPr>
        <w:t>地块土地整理</w:t>
      </w:r>
      <w:r>
        <w:rPr>
          <w:rFonts w:hint="eastAsia" w:ascii="仿宋_GB2312" w:hAnsi="方正仿宋_GB2312" w:cs="方正仿宋_GB2312"/>
          <w:szCs w:val="32"/>
          <w:lang w:val="zh-CN"/>
        </w:rPr>
        <w:t>、</w:t>
      </w:r>
      <w:r>
        <w:rPr>
          <w:rFonts w:hint="eastAsia" w:ascii="仿宋_GB2312" w:hAnsi="方正仿宋_GB2312" w:cs="方正仿宋_GB2312"/>
          <w:szCs w:val="32"/>
        </w:rPr>
        <w:t>青苗补偿</w:t>
      </w:r>
      <w:r>
        <w:rPr>
          <w:rFonts w:hint="eastAsia" w:ascii="仿宋_GB2312" w:hAnsi="方正仿宋_GB2312" w:cs="方正仿宋_GB2312"/>
          <w:szCs w:val="32"/>
          <w:lang w:val="zh-CN"/>
        </w:rPr>
        <w:t>，</w:t>
      </w:r>
      <w:r>
        <w:rPr>
          <w:rFonts w:hint="eastAsia" w:ascii="仿宋_GB2312" w:hAnsi="方正仿宋_GB2312" w:cs="方正仿宋_GB2312"/>
          <w:szCs w:val="32"/>
        </w:rPr>
        <w:t>坟墓搬迁等前期建设任务已完成。</w:t>
      </w:r>
    </w:p>
    <w:p>
      <w:pPr>
        <w:spacing w:line="576" w:lineRule="exact"/>
        <w:ind w:firstLine="640"/>
        <w:rPr>
          <w:rFonts w:ascii="仿宋_GB2312" w:hAnsi="方正仿宋_GB2312" w:cs="方正仿宋_GB2312"/>
          <w:lang w:val="zh-CN"/>
        </w:rPr>
      </w:pPr>
      <w:r>
        <w:rPr>
          <w:rFonts w:hint="eastAsia" w:ascii="仿宋_GB2312" w:hAnsi="方正仿宋_GB2312" w:cs="方正仿宋_GB2312"/>
          <w:szCs w:val="32"/>
        </w:rPr>
        <w:t>4.项目结果。项目在计划内完成，且完成预期目标，实施结果与绩效目标相匹配。</w:t>
      </w:r>
      <w:r>
        <w:rPr>
          <w:rFonts w:hint="eastAsia" w:ascii="仿宋_GB2312" w:hAnsi="方正仿宋_GB2312" w:cs="方正仿宋_GB2312"/>
          <w:szCs w:val="32"/>
          <w:lang w:val="zh-CN"/>
        </w:rPr>
        <w:t>自评得分</w:t>
      </w:r>
      <w:r>
        <w:rPr>
          <w:rFonts w:hint="eastAsia" w:ascii="仿宋_GB2312" w:hAnsi="方正仿宋_GB2312" w:cs="方正仿宋_GB2312"/>
          <w:szCs w:val="32"/>
        </w:rPr>
        <w:t>9分。</w:t>
      </w:r>
    </w:p>
    <w:p>
      <w:pPr>
        <w:spacing w:line="576" w:lineRule="exact"/>
        <w:ind w:firstLine="640" w:firstLineChars="200"/>
        <w:rPr>
          <w:rFonts w:ascii="楷体_GB2312" w:hAnsi="楷体_GB2312" w:eastAsia="楷体_GB2312" w:cs="楷体_GB2312"/>
          <w:bCs/>
          <w:lang w:val="zh-CN"/>
        </w:rPr>
      </w:pPr>
      <w:r>
        <w:rPr>
          <w:rFonts w:hint="eastAsia" w:ascii="楷体_GB2312" w:hAnsi="宋体" w:eastAsia="楷体_GB2312"/>
          <w:bCs/>
          <w:szCs w:val="32"/>
          <w:lang w:val="zh-CN"/>
        </w:rPr>
        <w:t>（二）</w:t>
      </w:r>
      <w:r>
        <w:rPr>
          <w:rFonts w:hint="eastAsia" w:ascii="楷体_GB2312" w:hAnsi="宋体" w:eastAsia="楷体_GB2312"/>
          <w:bCs/>
          <w:szCs w:val="32"/>
        </w:rPr>
        <w:t>专用指标</w:t>
      </w:r>
      <w:r>
        <w:rPr>
          <w:rFonts w:eastAsia="楷体_GB2312"/>
          <w:bCs/>
          <w:color w:val="000000"/>
          <w:kern w:val="0"/>
          <w:szCs w:val="32"/>
          <w:shd w:val="clear" w:color="auto" w:fill="FFFFFF"/>
          <w:lang w:val="zh-CN"/>
        </w:rPr>
        <w:t>绩效分析</w:t>
      </w:r>
    </w:p>
    <w:p>
      <w:pPr>
        <w:spacing w:line="576" w:lineRule="exact"/>
        <w:ind w:firstLine="640"/>
        <w:rPr>
          <w:rFonts w:ascii="仿宋_GB2312" w:hAnsi="方正仿宋_GB2312" w:cs="方正仿宋_GB2312"/>
        </w:rPr>
      </w:pPr>
      <w:r>
        <w:rPr>
          <w:rFonts w:hint="eastAsia" w:ascii="仿宋_GB2312" w:hAnsi="方正仿宋_GB2312" w:cs="方正仿宋_GB2312"/>
          <w:szCs w:val="32"/>
        </w:rPr>
        <w:t>基础设施方面，</w:t>
      </w:r>
      <w:r>
        <w:rPr>
          <w:rFonts w:hint="eastAsia" w:ascii="仿宋_GB2312" w:hAnsi="方正仿宋_GB2312" w:cs="方正仿宋_GB2312"/>
          <w:szCs w:val="32"/>
          <w:lang w:val="zh-CN"/>
        </w:rPr>
        <w:t>樵歌路北侧经营性用</w:t>
      </w:r>
      <w:r>
        <w:rPr>
          <w:rFonts w:hint="eastAsia" w:ascii="仿宋_GB2312" w:hAnsi="方正仿宋_GB2312" w:cs="方正仿宋_GB2312"/>
          <w:szCs w:val="32"/>
        </w:rPr>
        <w:t>地块土地整理</w:t>
      </w:r>
      <w:r>
        <w:rPr>
          <w:rFonts w:hint="eastAsia" w:ascii="仿宋_GB2312" w:hAnsi="方正仿宋_GB2312" w:cs="方正仿宋_GB2312"/>
          <w:szCs w:val="32"/>
          <w:lang w:val="zh-CN"/>
        </w:rPr>
        <w:t>、</w:t>
      </w:r>
      <w:r>
        <w:rPr>
          <w:rFonts w:hint="eastAsia" w:ascii="仿宋_GB2312" w:hAnsi="方正仿宋_GB2312" w:cs="方正仿宋_GB2312"/>
          <w:szCs w:val="32"/>
        </w:rPr>
        <w:t>青苗补偿</w:t>
      </w:r>
      <w:r>
        <w:rPr>
          <w:rFonts w:hint="eastAsia" w:ascii="仿宋_GB2312" w:hAnsi="方正仿宋_GB2312" w:cs="方正仿宋_GB2312"/>
          <w:szCs w:val="32"/>
          <w:lang w:val="zh-CN"/>
        </w:rPr>
        <w:t>，</w:t>
      </w:r>
      <w:r>
        <w:rPr>
          <w:rFonts w:hint="eastAsia" w:ascii="仿宋_GB2312" w:hAnsi="方正仿宋_GB2312" w:cs="方正仿宋_GB2312"/>
          <w:szCs w:val="32"/>
        </w:rPr>
        <w:t>坟墓搬迁等前期建设任务，项目按计划完工，达到了预期的资金使用效率。自评得分30分。</w:t>
      </w:r>
    </w:p>
    <w:p>
      <w:pPr>
        <w:spacing w:line="576" w:lineRule="exact"/>
        <w:ind w:firstLine="640"/>
        <w:rPr>
          <w:rFonts w:ascii="仿宋_GB2312" w:hAnsi="方正仿宋_GB2312" w:cs="方正仿宋_GB2312"/>
        </w:rPr>
      </w:pPr>
      <w:r>
        <w:rPr>
          <w:rFonts w:hint="eastAsia" w:ascii="楷体_GB2312" w:hAnsi="宋体" w:eastAsia="楷体_GB2312"/>
          <w:bCs/>
          <w:szCs w:val="32"/>
          <w:lang w:val="zh-CN"/>
        </w:rPr>
        <w:t>（三）</w:t>
      </w:r>
      <w:r>
        <w:rPr>
          <w:rFonts w:hint="eastAsia" w:ascii="楷体_GB2312" w:hAnsi="宋体" w:eastAsia="楷体_GB2312"/>
          <w:bCs/>
          <w:szCs w:val="32"/>
        </w:rPr>
        <w:t>个性指标</w:t>
      </w:r>
      <w:r>
        <w:rPr>
          <w:rFonts w:eastAsia="楷体_GB2312"/>
          <w:bCs/>
          <w:color w:val="000000"/>
          <w:kern w:val="0"/>
          <w:szCs w:val="32"/>
          <w:shd w:val="clear" w:color="auto" w:fill="FFFFFF"/>
          <w:lang w:val="zh-CN"/>
        </w:rPr>
        <w:t>绩效分析。</w:t>
      </w:r>
      <w:r>
        <w:rPr>
          <w:rFonts w:hint="eastAsia" w:ascii="仿宋_GB2312" w:hAnsi="方正仿宋_GB2312" w:cs="方正仿宋_GB2312"/>
          <w:szCs w:val="32"/>
          <w:lang w:val="zh-CN"/>
        </w:rPr>
        <w:t>城市修补、生态修复，综合提升城市景观风貌品质，</w:t>
      </w:r>
      <w:r>
        <w:rPr>
          <w:rFonts w:hint="eastAsia" w:ascii="仿宋_GB2312" w:hAnsi="方正仿宋_GB2312" w:cs="方正仿宋_GB2312"/>
          <w:szCs w:val="32"/>
        </w:rPr>
        <w:t>片区人居环境改善，</w:t>
      </w:r>
      <w:r>
        <w:rPr>
          <w:rFonts w:hint="eastAsia" w:ascii="仿宋_GB2312" w:hAnsi="方正仿宋_GB2312" w:cs="方正仿宋_GB2312"/>
          <w:szCs w:val="32"/>
          <w:lang w:val="zh-CN"/>
        </w:rPr>
        <w:t>增加临时就业岗位，</w:t>
      </w:r>
      <w:r>
        <w:rPr>
          <w:rFonts w:hint="eastAsia" w:ascii="仿宋_GB2312" w:hAnsi="方正仿宋_GB2312" w:cs="方正仿宋_GB2312"/>
          <w:szCs w:val="32"/>
        </w:rPr>
        <w:t>带动群众增收</w:t>
      </w:r>
      <w:r>
        <w:rPr>
          <w:rFonts w:hint="eastAsia" w:ascii="仿宋_GB2312" w:hAnsi="方正仿宋_GB2312" w:cs="方正仿宋_GB2312"/>
          <w:szCs w:val="32"/>
          <w:lang w:val="zh-CN"/>
        </w:rPr>
        <w:t>。</w:t>
      </w:r>
      <w:r>
        <w:rPr>
          <w:rFonts w:hint="eastAsia" w:ascii="仿宋_GB2312" w:hAnsi="方正仿宋_GB2312" w:cs="方正仿宋_GB2312"/>
          <w:szCs w:val="32"/>
        </w:rPr>
        <w:t>自评得分15分。</w:t>
      </w:r>
    </w:p>
    <w:p>
      <w:pPr>
        <w:pStyle w:val="2"/>
        <w:spacing w:before="93" w:line="576" w:lineRule="exact"/>
        <w:ind w:firstLine="640" w:firstLineChars="200"/>
        <w:rPr>
          <w:rFonts w:ascii="黑体" w:hAnsi="宋体"/>
          <w:sz w:val="32"/>
          <w:szCs w:val="32"/>
        </w:rPr>
      </w:pPr>
      <w:r>
        <w:rPr>
          <w:rFonts w:hint="eastAsia" w:ascii="黑体" w:hAnsi="宋体" w:eastAsia="黑体"/>
          <w:sz w:val="32"/>
          <w:szCs w:val="32"/>
        </w:rPr>
        <w:t>四、评价结论</w:t>
      </w:r>
    </w:p>
    <w:p>
      <w:pPr>
        <w:pStyle w:val="44"/>
        <w:spacing w:line="576" w:lineRule="exact"/>
        <w:ind w:firstLineChars="0"/>
        <w:rPr>
          <w:rFonts w:hAnsi="方正仿宋_GB2312" w:cs="方正仿宋_GB2312"/>
          <w:b w:val="0"/>
          <w:color w:val="auto"/>
          <w:sz w:val="32"/>
          <w:szCs w:val="32"/>
        </w:rPr>
      </w:pPr>
      <w:r>
        <w:rPr>
          <w:rFonts w:hint="eastAsia" w:hAnsi="方正仿宋_GB2312" w:cs="方正仿宋_GB2312"/>
          <w:b w:val="0"/>
          <w:color w:val="auto"/>
          <w:sz w:val="32"/>
          <w:szCs w:val="32"/>
          <w:lang w:val="zh-CN"/>
        </w:rPr>
        <w:t>确保马家坡阜康大道西侧樵歌路北侧经营性用地尽快净地移交、顺利进场施工，切实保障群众合法权益，</w:t>
      </w:r>
      <w:r>
        <w:rPr>
          <w:rFonts w:hint="eastAsia" w:hAnsi="方正仿宋_GB2312" w:cs="方正仿宋_GB2312"/>
          <w:b w:val="0"/>
          <w:color w:val="auto"/>
          <w:sz w:val="32"/>
          <w:szCs w:val="32"/>
        </w:rPr>
        <w:t>推进项目后续进展。</w:t>
      </w:r>
    </w:p>
    <w:p>
      <w:pPr>
        <w:pStyle w:val="2"/>
        <w:spacing w:before="93" w:line="576" w:lineRule="exact"/>
        <w:ind w:firstLine="640" w:firstLineChars="200"/>
        <w:rPr>
          <w:rFonts w:ascii="黑体" w:hAnsi="宋体" w:eastAsia="黑体"/>
          <w:sz w:val="32"/>
          <w:szCs w:val="32"/>
        </w:rPr>
      </w:pPr>
      <w:r>
        <w:rPr>
          <w:rFonts w:hint="eastAsia" w:ascii="黑体" w:hAnsi="宋体" w:eastAsia="黑体"/>
          <w:sz w:val="32"/>
          <w:szCs w:val="32"/>
        </w:rPr>
        <w:t>五、存在主要问题</w:t>
      </w:r>
    </w:p>
    <w:p>
      <w:pPr>
        <w:pStyle w:val="44"/>
        <w:spacing w:line="576" w:lineRule="exact"/>
        <w:rPr>
          <w:rFonts w:hAnsi="方正仿宋_GB2312" w:cs="方正仿宋_GB2312"/>
          <w:b w:val="0"/>
          <w:color w:val="auto"/>
          <w:sz w:val="32"/>
          <w:szCs w:val="32"/>
        </w:rPr>
      </w:pPr>
      <w:r>
        <w:rPr>
          <w:rFonts w:hint="eastAsia" w:hAnsi="方正仿宋_GB2312" w:cs="方正仿宋_GB2312"/>
          <w:b w:val="0"/>
          <w:color w:val="auto"/>
          <w:sz w:val="32"/>
          <w:szCs w:val="32"/>
        </w:rPr>
        <w:t>专项预算项目绩效指标设置需加强。</w:t>
      </w:r>
    </w:p>
    <w:p>
      <w:pPr>
        <w:pStyle w:val="2"/>
        <w:spacing w:before="93" w:line="576" w:lineRule="exact"/>
        <w:ind w:firstLine="640" w:firstLineChars="200"/>
        <w:rPr>
          <w:rFonts w:ascii="黑体" w:hAnsi="宋体"/>
          <w:sz w:val="32"/>
          <w:szCs w:val="32"/>
          <w:lang w:val="zh-CN"/>
        </w:rPr>
      </w:pPr>
      <w:r>
        <w:rPr>
          <w:rFonts w:hint="eastAsia" w:ascii="黑体" w:hAnsi="宋体" w:eastAsia="黑体"/>
          <w:position w:val="3"/>
          <w:sz w:val="32"/>
          <w:szCs w:val="32"/>
          <w:lang w:val="zh-CN"/>
        </w:rPr>
        <w:t>六、改进建议</w:t>
      </w:r>
    </w:p>
    <w:p>
      <w:pPr>
        <w:tabs>
          <w:tab w:val="left" w:pos="1911"/>
        </w:tabs>
        <w:spacing w:line="576" w:lineRule="exact"/>
        <w:jc w:val="left"/>
        <w:rPr>
          <w:rFonts w:ascii="仿宋_GB2312" w:hAnsi="方正仿宋_GB2312" w:cs="方正仿宋_GB2312"/>
          <w:lang w:val="en"/>
        </w:rPr>
      </w:pPr>
      <w:r>
        <w:rPr>
          <w:rFonts w:hint="eastAsia" w:ascii="仿宋_GB2312" w:hAnsi="仿宋_GB2312" w:cs="仿宋_GB2312"/>
          <w:kern w:val="0"/>
          <w:szCs w:val="32"/>
          <w:shd w:val="clear" w:color="auto" w:fill="FFFFFF"/>
          <w:lang w:val="zh-CN"/>
        </w:rPr>
        <w:t xml:space="preserve"> </w:t>
      </w:r>
      <w:r>
        <w:rPr>
          <w:rFonts w:hint="eastAsia" w:ascii="仿宋_GB2312" w:hAnsi="仿宋_GB2312" w:cs="仿宋_GB2312"/>
          <w:kern w:val="0"/>
          <w:szCs w:val="32"/>
        </w:rPr>
        <w:t xml:space="preserve">   </w:t>
      </w:r>
      <w:r>
        <w:rPr>
          <w:rFonts w:hint="eastAsia" w:ascii="仿宋_GB2312" w:hAnsi="方正仿宋_GB2312" w:cs="方正仿宋_GB2312"/>
          <w:szCs w:val="32"/>
        </w:rPr>
        <w:t>加强对申报项目的培训学习，使项目编制更加符合绩效评价相关要求，牢固树立绩效管理理念，同时进一步提高绩效评价工作方式、方法。</w:t>
      </w:r>
    </w:p>
    <w:p>
      <w:pPr>
        <w:pStyle w:val="2"/>
        <w:tabs>
          <w:tab w:val="left" w:pos="1911"/>
        </w:tabs>
        <w:spacing w:before="93" w:line="576" w:lineRule="exact"/>
        <w:rPr>
          <w:lang w:val="en"/>
        </w:rPr>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38"/>
        <w:spacing w:line="578" w:lineRule="exact"/>
        <w:ind w:left="640"/>
        <w:rPr>
          <w:rFonts w:ascii="方正小标宋简体" w:hAnsi="方正小标宋简体" w:eastAsia="方正小标宋简体" w:cs="方正小标宋简体"/>
          <w:color w:val="auto"/>
          <w:kern w:val="2"/>
          <w:sz w:val="44"/>
          <w:szCs w:val="44"/>
          <w:lang w:val="en-US"/>
        </w:rPr>
      </w:pPr>
    </w:p>
    <w:p>
      <w:pPr>
        <w:pStyle w:val="38"/>
        <w:spacing w:line="578" w:lineRule="exact"/>
        <w:ind w:left="640"/>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关于全市深化国资国企改革转型发展专题研讨班项目的绩效评价报告</w:t>
      </w:r>
    </w:p>
    <w:p>
      <w:pPr>
        <w:pStyle w:val="38"/>
        <w:spacing w:line="578" w:lineRule="exact"/>
        <w:ind w:left="640" w:firstLine="640"/>
        <w:jc w:val="center"/>
        <w:rPr>
          <w:rFonts w:ascii="宋体" w:hAnsi="宋体"/>
          <w:color w:val="auto"/>
          <w:kern w:val="2"/>
          <w:sz w:val="32"/>
          <w:szCs w:val="32"/>
        </w:rPr>
      </w:pPr>
    </w:p>
    <w:p>
      <w:pPr>
        <w:adjustRightInd w:val="0"/>
        <w:snapToGrid w:val="0"/>
        <w:spacing w:line="578"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spacing w:line="560" w:lineRule="exact"/>
        <w:ind w:firstLine="640" w:firstLineChars="200"/>
        <w:rPr>
          <w:rFonts w:ascii="仿宋_GB2312" w:hAnsi="仿宋_GB2312" w:cs="仿宋_GB2312"/>
          <w:bCs/>
          <w:kern w:val="0"/>
          <w:highlight w:val="yellow"/>
          <w:shd w:val="clear" w:color="auto" w:fill="FFFFFF"/>
          <w:lang w:val="zh-CN"/>
        </w:rPr>
      </w:pPr>
      <w:r>
        <w:rPr>
          <w:rFonts w:hint="eastAsia" w:ascii="楷体_GB2312" w:hAnsi="宋体" w:eastAsia="楷体_GB2312"/>
          <w:bCs/>
          <w:lang w:val="zh-CN"/>
        </w:rPr>
        <w:t>（一）设立背景及基本情况。</w:t>
      </w:r>
      <w:r>
        <w:rPr>
          <w:rFonts w:hint="eastAsia" w:ascii="仿宋_GB2312" w:hAnsi="仿宋_GB2312" w:cs="仿宋_GB2312"/>
          <w:bCs/>
        </w:rPr>
        <w:t>为了开拓视野，拓宽工作思路，全面提高干部在新形势下的基本能力，</w:t>
      </w:r>
      <w:r>
        <w:rPr>
          <w:rFonts w:hint="eastAsia" w:ascii="仿宋_GB2312" w:cs="仿宋_GB2312"/>
          <w:bCs/>
          <w:kern w:val="0"/>
        </w:rPr>
        <w:t>市国资委办</w:t>
      </w:r>
      <w:r>
        <w:rPr>
          <w:rFonts w:hint="eastAsia" w:ascii="仿宋_GB2312" w:hAnsi="仿宋_GB2312" w:cs="仿宋_GB2312"/>
          <w:bCs/>
          <w:lang w:val="zh-CN"/>
        </w:rPr>
        <w:t>申请开展</w:t>
      </w:r>
      <w:r>
        <w:rPr>
          <w:rFonts w:hint="eastAsia" w:ascii="仿宋_GB2312" w:hAnsi="仿宋_GB2312" w:cs="仿宋_GB2312"/>
          <w:bCs/>
        </w:rPr>
        <w:t>2023年度</w:t>
      </w:r>
      <w:r>
        <w:rPr>
          <w:rFonts w:hint="eastAsia" w:ascii="仿宋_GB2312" w:hAnsi="仿宋_GB2312" w:cs="仿宋_GB2312"/>
          <w:bCs/>
          <w:lang w:bidi="ar"/>
        </w:rPr>
        <w:t>全市深化国资国企改革转型发展专题研讨班</w:t>
      </w:r>
      <w:r>
        <w:rPr>
          <w:rFonts w:hint="eastAsia" w:ascii="仿宋_GB2312" w:hAnsi="仿宋_GB2312" w:cs="仿宋_GB2312"/>
          <w:bCs/>
          <w:lang w:val="zh-CN"/>
        </w:rPr>
        <w:t>培训，项目经市委组织部审核纳入</w:t>
      </w:r>
      <w:r>
        <w:rPr>
          <w:rFonts w:hint="eastAsia" w:ascii="仿宋_GB2312" w:hAnsi="仿宋_GB2312" w:cs="仿宋_GB2312"/>
          <w:bCs/>
          <w:kern w:val="0"/>
        </w:rPr>
        <w:t>2023年市级重点专题培训项目计划，成功立项，</w:t>
      </w:r>
      <w:r>
        <w:rPr>
          <w:rFonts w:hint="eastAsia" w:ascii="仿宋_GB2312" w:hAnsi="仿宋_GB2312" w:cs="仿宋_GB2312"/>
          <w:bCs/>
        </w:rPr>
        <w:t>资金申报根据以往年度支出测算。</w:t>
      </w:r>
    </w:p>
    <w:p>
      <w:pPr>
        <w:adjustRightInd w:val="0"/>
        <w:snapToGrid w:val="0"/>
        <w:spacing w:line="578" w:lineRule="exact"/>
        <w:ind w:firstLine="640" w:firstLineChars="200"/>
        <w:rPr>
          <w:rFonts w:ascii="楷体_GB2312" w:hAnsi="宋体" w:eastAsia="楷体_GB2312"/>
          <w:b/>
        </w:rPr>
      </w:pPr>
      <w:r>
        <w:rPr>
          <w:rFonts w:hint="eastAsia" w:ascii="楷体_GB2312" w:hAnsi="宋体" w:eastAsia="楷体_GB2312"/>
          <w:bCs/>
          <w:lang w:val="zh-CN"/>
        </w:rPr>
        <w:t>（二）</w:t>
      </w:r>
      <w:r>
        <w:rPr>
          <w:rFonts w:ascii="楷体_GB2312" w:hAnsi="宋体" w:eastAsia="楷体_GB2312"/>
          <w:bCs/>
        </w:rPr>
        <w:t>实施目的及支持方向</w:t>
      </w:r>
      <w:r>
        <w:rPr>
          <w:rFonts w:hint="eastAsia" w:ascii="楷体_GB2312" w:hAnsi="宋体" w:eastAsia="楷体_GB2312"/>
          <w:bCs/>
        </w:rPr>
        <w:t>。</w:t>
      </w:r>
      <w:r>
        <w:rPr>
          <w:rFonts w:hint="eastAsia" w:ascii="仿宋_GB2312" w:hAnsi="仿宋_GB2312" w:cs="仿宋_GB2312"/>
        </w:rPr>
        <w:t>根据市委组织部《关于印发2023年市级重点专题培训项目计划的通知》（广组训〔2023〕10号）</w:t>
      </w:r>
      <w:r>
        <w:rPr>
          <w:rFonts w:hint="eastAsia" w:ascii="仿宋_GB2312" w:hAnsi="仿宋_GB2312" w:cs="仿宋_GB2312"/>
          <w:lang w:bidi="ar"/>
        </w:rPr>
        <w:t>《关于举办全市深化国资国企改革转型发展专题研讨班的通知》（广组训函〔2023〕69号）安排</w:t>
      </w:r>
      <w:r>
        <w:rPr>
          <w:rFonts w:hint="eastAsia" w:ascii="仿宋_GB2312" w:hAnsi="仿宋_GB2312" w:cs="仿宋_GB2312"/>
        </w:rPr>
        <w:t>，市委组织部、市国资委于2023年10月29日至11月4日</w:t>
      </w:r>
      <w:r>
        <w:rPr>
          <w:rFonts w:hint="eastAsia" w:ascii="仿宋_GB2312" w:hAnsi="仿宋_GB2312" w:cs="仿宋_GB2312"/>
          <w:lang w:bidi="ar"/>
        </w:rPr>
        <w:t>组织全市国资国企系统相关人员赴</w:t>
      </w:r>
      <w:r>
        <w:rPr>
          <w:rFonts w:hint="eastAsia" w:ascii="仿宋_GB2312" w:hAnsi="仿宋_GB2312" w:cs="仿宋_GB2312"/>
        </w:rPr>
        <w:t>深圳大学继续教育学院开展“全市深化国资国企改革转型发展专题研讨班”培训。因项目费用根据合同一次性支付，性质单纯，项目资金管理执行</w:t>
      </w:r>
      <w:r>
        <w:rPr>
          <w:rFonts w:hint="eastAsia" w:ascii="仿宋_GB2312" w:hAnsi="仿宋_GB2312" w:cs="仿宋_GB2312"/>
          <w:lang w:val="zh-CN"/>
        </w:rPr>
        <w:t>《广元市政府国有资产监督管理委员会财务管理制度</w:t>
      </w:r>
      <w:r>
        <w:rPr>
          <w:rFonts w:hint="eastAsia" w:ascii="仿宋_GB2312" w:hAnsi="仿宋_GB2312" w:cs="仿宋_GB2312"/>
        </w:rPr>
        <w:t>》。</w:t>
      </w:r>
    </w:p>
    <w:p>
      <w:pPr>
        <w:widowControl/>
        <w:adjustRightInd w:val="0"/>
        <w:snapToGrid w:val="0"/>
        <w:spacing w:line="578" w:lineRule="exact"/>
        <w:ind w:firstLine="640"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Cs/>
          <w:lang w:val="zh-CN"/>
        </w:rPr>
        <w:t>（三）</w:t>
      </w:r>
      <w:r>
        <w:rPr>
          <w:rFonts w:ascii="楷体_GB2312" w:hAnsi="宋体" w:eastAsia="楷体_GB2312"/>
          <w:bCs/>
        </w:rPr>
        <w:t>预算安排及分配管理</w:t>
      </w:r>
      <w:r>
        <w:rPr>
          <w:rFonts w:hint="eastAsia" w:ascii="楷体_GB2312" w:hAnsi="宋体" w:eastAsia="楷体_GB2312"/>
          <w:bCs/>
          <w:lang w:val="zh-CN"/>
        </w:rPr>
        <w:t>。</w:t>
      </w:r>
      <w:r>
        <w:rPr>
          <w:rFonts w:hint="eastAsia" w:ascii="仿宋_GB2312" w:hAnsi="仿宋_GB2312" w:cs="仿宋_GB2312"/>
          <w:lang w:val="zh-CN"/>
        </w:rPr>
        <w:t>项目预算资金</w:t>
      </w:r>
      <w:r>
        <w:rPr>
          <w:rFonts w:hint="eastAsia" w:ascii="仿宋_GB2312" w:hAnsi="仿宋_GB2312" w:cs="仿宋_GB2312"/>
        </w:rPr>
        <w:t>15万元，包含资料讲义费、教师课酬、课室使用费、培训管理费、文具费、结业证书费、食宿费、室内培训集体乘坐大巴交通费、培训期间的学员人身意外保险费等。培训完成后，市国资委向市委组织部报送完成情况，市委组织部审核开具项目结项后，向财政申报专项培训经费。</w:t>
      </w:r>
    </w:p>
    <w:p>
      <w:pPr>
        <w:adjustRightInd w:val="0"/>
        <w:snapToGrid w:val="0"/>
        <w:spacing w:line="578" w:lineRule="exact"/>
        <w:ind w:firstLine="640" w:firstLineChars="200"/>
        <w:rPr>
          <w:rFonts w:ascii="仿宋_GB2312" w:hAnsi="仿宋_GB2312" w:cs="仿宋_GB2312"/>
          <w:bCs/>
          <w:kern w:val="0"/>
          <w:shd w:val="clear" w:color="auto" w:fill="FFFFFF"/>
          <w:lang w:val="zh-CN"/>
        </w:rPr>
      </w:pPr>
      <w:r>
        <w:rPr>
          <w:rFonts w:hint="eastAsia" w:ascii="楷体_GB2312" w:hAnsi="宋体" w:eastAsia="楷体_GB2312"/>
          <w:bCs/>
          <w:lang w:val="zh-CN"/>
        </w:rPr>
        <w:t>（四）项目绩效目标设置</w:t>
      </w:r>
    </w:p>
    <w:p>
      <w:pPr>
        <w:adjustRightInd w:val="0"/>
        <w:snapToGrid w:val="0"/>
        <w:spacing w:line="578" w:lineRule="exact"/>
        <w:ind w:firstLine="640" w:firstLineChars="200"/>
        <w:rPr>
          <w:rFonts w:ascii="楷体_GB2312" w:hAnsi="宋体" w:eastAsia="楷体_GB2312"/>
          <w:b/>
          <w:highlight w:val="yellow"/>
          <w:lang w:val="zh-CN"/>
        </w:rPr>
      </w:pPr>
      <w:r>
        <w:rPr>
          <w:rFonts w:hint="eastAsia" w:ascii="仿宋_GB2312" w:hAnsi="仿宋_GB2312" w:cs="仿宋_GB2312"/>
          <w:bCs/>
          <w:kern w:val="0"/>
          <w:shd w:val="clear" w:color="auto" w:fill="FFFFFF"/>
        </w:rPr>
        <w:t>1.</w:t>
      </w:r>
      <w:r>
        <w:rPr>
          <w:rFonts w:hint="eastAsia" w:ascii="仿宋_GB2312" w:hAnsi="仿宋_GB2312" w:cs="仿宋_GB2312"/>
          <w:bCs/>
          <w:kern w:val="0"/>
          <w:shd w:val="clear" w:color="auto" w:fill="FFFFFF"/>
          <w:lang w:val="zh-CN"/>
        </w:rPr>
        <w:t>项目整体目标：</w:t>
      </w:r>
      <w:r>
        <w:rPr>
          <w:rFonts w:hint="eastAsia" w:ascii="仿宋_GB2312" w:hAnsi="仿宋_GB2312" w:cs="仿宋_GB2312"/>
          <w:bCs/>
        </w:rPr>
        <w:t>深入学习贯彻习近平新时代中国特色社会主义思想和习近平总书记对四</w:t>
      </w:r>
      <w:r>
        <w:rPr>
          <w:rFonts w:hint="eastAsia" w:ascii="仿宋_GB2312" w:hAnsi="仿宋_GB2312" w:cs="仿宋_GB2312"/>
        </w:rPr>
        <w:t>川工作系列重要指示精神，认真贯彻落实党的二十大精神和省委十二届二次、三次全会以及市委八届五次、六次全会决策部署，重点学习习近平总书记关于国资国企工作新部署新要求，围绕宏观经济形势分析与研判、中国特色国有企业公司治理、现代产业体系建设、市场化经营管理、防范化解债务风险等开展学习培训。</w:t>
      </w:r>
    </w:p>
    <w:p>
      <w:pPr>
        <w:pStyle w:val="2"/>
        <w:adjustRightInd w:val="0"/>
        <w:snapToGrid w:val="0"/>
        <w:spacing w:before="93" w:line="576" w:lineRule="exact"/>
        <w:ind w:firstLine="640" w:firstLineChars="200"/>
        <w:rPr>
          <w:rFonts w:hAnsi="仿宋_GB2312" w:cs="仿宋_GB2312"/>
          <w:kern w:val="2"/>
          <w:sz w:val="32"/>
          <w:szCs w:val="32"/>
        </w:rPr>
      </w:pPr>
      <w:r>
        <w:rPr>
          <w:rFonts w:hint="eastAsia" w:hAnsi="仿宋_GB2312" w:cs="仿宋_GB2312"/>
          <w:kern w:val="2"/>
          <w:sz w:val="32"/>
          <w:szCs w:val="32"/>
        </w:rPr>
        <w:t>2.具体绩效目标：</w:t>
      </w:r>
      <w:r>
        <w:rPr>
          <w:rFonts w:hint="eastAsia" w:hAnsi="仿宋_GB2312" w:cs="仿宋_GB2312"/>
          <w:kern w:val="2"/>
          <w:sz w:val="32"/>
          <w:szCs w:val="32"/>
          <w:lang w:val="zh-CN"/>
        </w:rPr>
        <w:t>在深圳大学继续教育学院对</w:t>
      </w:r>
      <w:r>
        <w:rPr>
          <w:rFonts w:hint="eastAsia" w:hAnsi="仿宋_GB2312" w:cs="仿宋_GB2312"/>
          <w:kern w:val="2"/>
          <w:sz w:val="32"/>
          <w:szCs w:val="32"/>
        </w:rPr>
        <w:t>各县区党委或政府分管负责同志、</w:t>
      </w:r>
      <w:r>
        <w:rPr>
          <w:rFonts w:hint="eastAsia" w:hAnsi="仿宋_GB2312" w:cs="仿宋_GB2312"/>
          <w:kern w:val="2"/>
          <w:sz w:val="32"/>
          <w:szCs w:val="32"/>
          <w:lang w:val="zh-CN"/>
        </w:rPr>
        <w:t>广元经济技术开发区分管负责同志、</w:t>
      </w:r>
      <w:r>
        <w:rPr>
          <w:rFonts w:hint="eastAsia" w:hAnsi="仿宋_GB2312" w:cs="仿宋_GB2312"/>
          <w:kern w:val="2"/>
          <w:sz w:val="32"/>
          <w:szCs w:val="32"/>
        </w:rPr>
        <w:t>市县国有企业高级管理人员以及国资监管机构相关人员共计60人开展为期7天的全市</w:t>
      </w:r>
      <w:r>
        <w:rPr>
          <w:rFonts w:hint="eastAsia" w:hAnsi="仿宋_GB2312" w:cs="仿宋_GB2312"/>
          <w:kern w:val="2"/>
          <w:sz w:val="32"/>
          <w:szCs w:val="32"/>
          <w:lang w:val="zh-CN"/>
        </w:rPr>
        <w:t>深化国资国企改革转型发展</w:t>
      </w:r>
      <w:r>
        <w:rPr>
          <w:rFonts w:hint="eastAsia" w:hAnsi="仿宋_GB2312" w:cs="仿宋_GB2312"/>
          <w:kern w:val="2"/>
          <w:sz w:val="32"/>
          <w:szCs w:val="32"/>
        </w:rPr>
        <w:t>业务知识培训，</w:t>
      </w:r>
      <w:r>
        <w:rPr>
          <w:rFonts w:hint="eastAsia" w:hAnsi="仿宋_GB2312" w:cs="仿宋_GB2312"/>
          <w:kern w:val="2"/>
          <w:sz w:val="32"/>
          <w:szCs w:val="32"/>
          <w:lang w:val="zh-CN"/>
        </w:rPr>
        <w:t>并开展相关现场教学和交流研讨。学员参训率</w:t>
      </w:r>
      <w:r>
        <w:rPr>
          <w:rFonts w:hint="eastAsia" w:hAnsi="仿宋_GB2312" w:cs="仿宋_GB2312"/>
          <w:kern w:val="2"/>
          <w:sz w:val="32"/>
          <w:szCs w:val="32"/>
        </w:rPr>
        <w:t>100%，培训全程符合《干部教育培训学员管理规定》要求，进一步提高了参训人员综合素质和党性修养，提升了干部履职能力，培训学员满意率达100%。</w:t>
      </w:r>
    </w:p>
    <w:p>
      <w:pPr>
        <w:pStyle w:val="2"/>
        <w:adjustRightInd w:val="0"/>
        <w:snapToGrid w:val="0"/>
        <w:spacing w:before="93" w:line="576" w:lineRule="exact"/>
        <w:ind w:firstLine="640" w:firstLineChars="200"/>
        <w:rPr>
          <w:lang w:val="zh-CN"/>
        </w:rPr>
      </w:pPr>
      <w:r>
        <w:rPr>
          <w:rFonts w:hint="eastAsia" w:hAnsi="仿宋_GB2312" w:cs="仿宋_GB2312"/>
          <w:kern w:val="2"/>
          <w:sz w:val="32"/>
          <w:szCs w:val="32"/>
        </w:rPr>
        <w:t>3.项目自评：项目由人事科负责实施，人事科与办公室对项目绩效进行自评。</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pPr>
      <w:r>
        <w:rPr>
          <w:rFonts w:hint="eastAsia" w:ascii="楷体_GB2312" w:hAnsi="宋体" w:eastAsia="楷体_GB2312"/>
          <w:bCs/>
          <w:lang w:val="zh-CN"/>
        </w:rPr>
        <w:t>（一）评价目的。</w:t>
      </w:r>
      <w:r>
        <w:rPr>
          <w:bCs/>
        </w:rPr>
        <w:t>通</w:t>
      </w:r>
      <w:r>
        <w:t>过</w:t>
      </w:r>
      <w:r>
        <w:rPr>
          <w:rFonts w:hint="eastAsia"/>
        </w:rPr>
        <w:t>项目绩效自评发现项目实施过程中的优缺点，为来年开展项目工作提供经验教训，好进一步提升来年项目实施质量。</w:t>
      </w:r>
    </w:p>
    <w:p>
      <w:pPr>
        <w:pStyle w:val="2"/>
        <w:adjustRightInd w:val="0"/>
        <w:snapToGrid w:val="0"/>
        <w:spacing w:before="93" w:line="576" w:lineRule="exact"/>
        <w:ind w:firstLine="640" w:firstLineChars="200"/>
        <w:rPr>
          <w:bCs/>
          <w:szCs w:val="32"/>
        </w:rPr>
      </w:pPr>
      <w:r>
        <w:rPr>
          <w:rFonts w:hint="eastAsia" w:hAnsi="宋体" w:eastAsia="楷体_GB2312"/>
          <w:bCs/>
          <w:sz w:val="32"/>
          <w:szCs w:val="32"/>
          <w:lang w:val="zh-CN"/>
        </w:rPr>
        <w:t>（二）预设问题及评价重点。</w:t>
      </w:r>
      <w:r>
        <w:rPr>
          <w:rFonts w:hint="eastAsia" w:hAnsi="仿宋_GB2312" w:cs="仿宋_GB2312"/>
          <w:bCs/>
          <w:kern w:val="2"/>
          <w:sz w:val="32"/>
          <w:szCs w:val="32"/>
        </w:rPr>
        <w:t>全市深化国资国企改革转型发展专题研讨班经费预算15万元。项目实施完成后，申请财政正式下达项目预算资金。根据与深圳大学继续教育学院的培训协议，按时支付15万元培训费。</w:t>
      </w:r>
      <w:r>
        <w:rPr>
          <w:rFonts w:hint="eastAsia" w:hAnsi="仿宋_GB2312" w:cs="仿宋_GB2312"/>
          <w:bCs/>
          <w:kern w:val="2"/>
          <w:sz w:val="32"/>
          <w:szCs w:val="32"/>
          <w:lang w:val="zh-CN"/>
        </w:rPr>
        <w:t>资金</w:t>
      </w:r>
      <w:r>
        <w:rPr>
          <w:rFonts w:hint="eastAsia" w:hAnsi="仿宋_GB2312" w:cs="仿宋_GB2312"/>
          <w:bCs/>
          <w:kern w:val="2"/>
          <w:sz w:val="32"/>
          <w:szCs w:val="32"/>
        </w:rPr>
        <w:t>开支范围、标准合规合法，资金支付与预算相符。</w:t>
      </w:r>
    </w:p>
    <w:p>
      <w:pPr>
        <w:adjustRightInd w:val="0"/>
        <w:snapToGrid w:val="0"/>
        <w:spacing w:line="578" w:lineRule="exact"/>
        <w:ind w:firstLine="640" w:firstLineChars="200"/>
        <w:rPr>
          <w:bCs/>
          <w:lang w:val="zh-CN"/>
        </w:rPr>
      </w:pPr>
      <w:r>
        <w:rPr>
          <w:rFonts w:hint="eastAsia" w:ascii="楷体_GB2312" w:hAnsi="宋体" w:eastAsia="楷体_GB2312"/>
          <w:bCs/>
          <w:lang w:val="zh-CN"/>
        </w:rPr>
        <w:t>（三）评价选点。</w:t>
      </w:r>
      <w:r>
        <w:rPr>
          <w:rFonts w:hint="eastAsia" w:ascii="仿宋_GB2312" w:hAnsi="仿宋_GB2312" w:cs="仿宋_GB2312"/>
          <w:bCs/>
        </w:rPr>
        <w:t>根据项目实施情况，对培训次数、培训人员到位率、培训完成时间、国企改革水平提升率、参训人员满意度、培训费用支出进行全方位评价。</w:t>
      </w:r>
    </w:p>
    <w:p>
      <w:pPr>
        <w:spacing w:line="578" w:lineRule="exact"/>
        <w:ind w:firstLine="640"/>
      </w:pPr>
      <w:r>
        <w:rPr>
          <w:rFonts w:hint="eastAsia" w:ascii="楷体_GB2312" w:hAnsi="宋体" w:eastAsia="楷体_GB2312"/>
          <w:bCs/>
          <w:lang w:val="zh-CN"/>
        </w:rPr>
        <w:t>（四）评价方法。</w:t>
      </w:r>
      <w:r>
        <w:rPr>
          <w:bCs/>
        </w:rPr>
        <w:t>根据项目情况和评价重点，</w:t>
      </w:r>
      <w:r>
        <w:rPr>
          <w:rFonts w:hint="eastAsia"/>
          <w:bCs/>
        </w:rPr>
        <w:t>用来</w:t>
      </w:r>
      <w:r>
        <w:rPr>
          <w:bCs/>
        </w:rPr>
        <w:t>收集相关材料和开展具体评价</w:t>
      </w:r>
      <w:r>
        <w:rPr>
          <w:rFonts w:hint="eastAsia"/>
          <w:bCs/>
        </w:rPr>
        <w:t>的方法</w:t>
      </w:r>
      <w:r>
        <w:t>。</w:t>
      </w:r>
      <w:r>
        <w:rPr>
          <w:rFonts w:hint="eastAsia"/>
        </w:rPr>
        <w:t>包括：</w:t>
      </w:r>
      <w:r>
        <w:t>采用</w:t>
      </w:r>
      <w:r>
        <w:rPr>
          <w:rFonts w:hint="eastAsia"/>
        </w:rPr>
        <w:t>成本效益分析法、标杆管理法、</w:t>
      </w:r>
      <w:r>
        <w:t>案卷研究法、单位自评法、实地勘察法、问卷调查法、座谈调研法等多种方法</w:t>
      </w:r>
      <w:r>
        <w:rPr>
          <w:rFonts w:hint="eastAsia"/>
        </w:rPr>
        <w:t>。</w:t>
      </w:r>
    </w:p>
    <w:p>
      <w:pPr>
        <w:spacing w:line="578" w:lineRule="exact"/>
        <w:ind w:firstLine="640"/>
      </w:pPr>
      <w:r>
        <w:rPr>
          <w:rFonts w:hint="eastAsia" w:ascii="楷体_GB2312" w:hAnsi="宋体" w:eastAsia="楷体_GB2312"/>
          <w:lang w:val="zh-CN"/>
        </w:rPr>
        <w:t>（五）评价组织。</w:t>
      </w:r>
      <w:r>
        <w:rPr>
          <w:rFonts w:hint="eastAsia" w:ascii="仿宋_GB2312" w:hAnsi="仿宋_GB2312" w:cs="仿宋_GB2312"/>
        </w:rPr>
        <w:t>项目由人事科负责实施，人事科与办公室对项目绩效进行自评。</w:t>
      </w:r>
    </w:p>
    <w:p>
      <w:pPr>
        <w:adjustRightInd w:val="0"/>
        <w:snapToGrid w:val="0"/>
        <w:spacing w:line="578" w:lineRule="exact"/>
        <w:ind w:firstLine="640" w:firstLineChars="200"/>
        <w:rPr>
          <w:rFonts w:ascii="仿宋_GB2312" w:hAnsi="宋体"/>
          <w:lang w:val="zh-CN"/>
        </w:rPr>
      </w:pPr>
      <w:r>
        <w:rPr>
          <w:rFonts w:hint="eastAsia" w:ascii="黑体" w:hAnsi="宋体" w:eastAsia="黑体"/>
        </w:rPr>
        <w:t>三、绩效分析</w:t>
      </w:r>
      <w:r>
        <w:rPr>
          <w:rFonts w:hint="eastAsia" w:ascii="仿宋_GB2312" w:hAnsi="宋体"/>
          <w:lang w:val="zh-CN"/>
        </w:rPr>
        <w:tab/>
      </w:r>
    </w:p>
    <w:p>
      <w:pPr>
        <w:spacing w:line="578" w:lineRule="exact"/>
        <w:ind w:firstLine="640"/>
        <w:rPr>
          <w:rFonts w:ascii="楷体_GB2312" w:hAnsi="宋体" w:eastAsia="楷体_GB2312"/>
          <w:bCs/>
        </w:rPr>
      </w:pPr>
      <w:r>
        <w:rPr>
          <w:rFonts w:hint="eastAsia" w:ascii="楷体_GB2312" w:hAnsi="宋体" w:eastAsia="楷体_GB2312"/>
          <w:bCs/>
          <w:lang w:val="zh-CN"/>
        </w:rPr>
        <w:t>（一）</w:t>
      </w:r>
      <w:r>
        <w:rPr>
          <w:rFonts w:hint="eastAsia" w:ascii="楷体_GB2312" w:hAnsi="宋体" w:eastAsia="楷体_GB2312"/>
          <w:bCs/>
        </w:rPr>
        <w:t>通用指标</w:t>
      </w:r>
      <w:r>
        <w:rPr>
          <w:rFonts w:eastAsia="楷体_GB2312"/>
          <w:bCs/>
          <w:color w:val="000000"/>
          <w:kern w:val="0"/>
          <w:shd w:val="clear" w:color="auto" w:fill="FFFFFF"/>
          <w:lang w:val="zh-CN"/>
        </w:rPr>
        <w:t>绩效分析</w:t>
      </w:r>
    </w:p>
    <w:p>
      <w:pPr>
        <w:spacing w:line="578" w:lineRule="exact"/>
        <w:ind w:firstLine="640"/>
        <w:rPr>
          <w:rFonts w:ascii="楷体_GB2312" w:hAnsi="楷体_GB2312" w:eastAsia="楷体_GB2312" w:cs="楷体_GB2312"/>
        </w:rPr>
      </w:pPr>
      <w:r>
        <w:rPr>
          <w:rFonts w:hint="eastAsia" w:ascii="楷体_GB2312" w:hAnsi="楷体_GB2312" w:eastAsia="楷体_GB2312" w:cs="楷体_GB2312"/>
        </w:rPr>
        <w:t>1.项目决策。（自评18分）</w:t>
      </w:r>
    </w:p>
    <w:p>
      <w:pPr>
        <w:spacing w:line="578" w:lineRule="exact"/>
        <w:ind w:firstLine="640"/>
      </w:pPr>
      <w:r>
        <w:rPr>
          <w:rFonts w:hint="eastAsia"/>
        </w:rPr>
        <w:t>（1）决策程序。资金管理办法按照市国资委项目资金管理办法执行，</w:t>
      </w:r>
      <w:r>
        <w:rPr>
          <w:rFonts w:hint="eastAsia" w:ascii="仿宋_GB2312" w:hAnsi="仿宋_GB2312" w:cs="仿宋_GB2312"/>
          <w:lang w:bidi="ar"/>
        </w:rPr>
        <w:t>《关于举办全市深化国资国企改革转型发展专题研讨班的通知》经党委会审议通过实施，</w:t>
      </w:r>
      <w:r>
        <w:rPr>
          <w:rFonts w:hint="eastAsia"/>
        </w:rPr>
        <w:t>项目资金申报符合《广元市市级机关培训管理办法》（广财行</w:t>
      </w:r>
      <w:r>
        <w:rPr>
          <w:rFonts w:hint="eastAsia" w:ascii="仿宋_GB2312" w:hAnsi="仿宋_GB2312" w:cs="仿宋_GB2312"/>
        </w:rPr>
        <w:t>〔</w:t>
      </w:r>
      <w:r>
        <w:rPr>
          <w:rFonts w:hint="eastAsia" w:ascii="仿宋_GB2312" w:hAnsi="仿宋"/>
        </w:rPr>
        <w:t>2018</w:t>
      </w:r>
      <w:r>
        <w:rPr>
          <w:rFonts w:hint="eastAsia" w:ascii="仿宋_GB2312" w:hAnsi="仿宋_GB2312" w:cs="仿宋_GB2312"/>
        </w:rPr>
        <w:t>〕18</w:t>
      </w:r>
      <w:r>
        <w:rPr>
          <w:rFonts w:hint="eastAsia" w:ascii="仿宋_GB2312" w:hAnsi="仿宋"/>
        </w:rPr>
        <w:t>号</w:t>
      </w:r>
      <w:r>
        <w:rPr>
          <w:rFonts w:hint="eastAsia"/>
        </w:rPr>
        <w:t>）文件限额管理要求。</w:t>
      </w:r>
    </w:p>
    <w:p>
      <w:pPr>
        <w:spacing w:line="578" w:lineRule="exact"/>
        <w:ind w:firstLine="640"/>
      </w:pPr>
      <w:r>
        <w:rPr>
          <w:rFonts w:hint="eastAsia"/>
        </w:rPr>
        <w:t>（2）规划论证。项目规划符合党中央国务院、省委省政府、市委市政府有关决策部署安排。</w:t>
      </w:r>
    </w:p>
    <w:p>
      <w:pPr>
        <w:spacing w:line="578" w:lineRule="exact"/>
        <w:ind w:firstLine="640"/>
      </w:pPr>
      <w:r>
        <w:rPr>
          <w:rFonts w:hint="eastAsia"/>
        </w:rPr>
        <w:t>（3）资金投向。项目资金与项目总体规划匹配，属于</w:t>
      </w:r>
      <w:r>
        <w:rPr>
          <w:rFonts w:hint="eastAsia" w:ascii="仿宋_GB2312" w:cs="仿宋_GB2312"/>
          <w:kern w:val="0"/>
          <w:lang w:val="zh-CN"/>
        </w:rPr>
        <w:t>2023年市级重点专题培训项目计划，符合政府财政资金支持范围，且未与其他同类型项目或部门内部项目交叉重复。</w:t>
      </w:r>
    </w:p>
    <w:p>
      <w:pPr>
        <w:spacing w:line="578" w:lineRule="exact"/>
        <w:ind w:firstLine="640" w:firstLineChars="200"/>
        <w:rPr>
          <w:rFonts w:ascii="楷体_GB2312" w:hAnsi="楷体_GB2312" w:eastAsia="楷体_GB2312" w:cs="楷体_GB2312"/>
        </w:rPr>
      </w:pPr>
      <w:r>
        <w:rPr>
          <w:rFonts w:hint="eastAsia" w:ascii="楷体_GB2312" w:hAnsi="楷体_GB2312" w:eastAsia="楷体_GB2312" w:cs="楷体_GB2312"/>
        </w:rPr>
        <w:t>2.项目管理。（自评18分）</w:t>
      </w:r>
    </w:p>
    <w:p>
      <w:pPr>
        <w:spacing w:line="578" w:lineRule="exact"/>
        <w:ind w:firstLine="640" w:firstLineChars="200"/>
      </w:pPr>
      <w:r>
        <w:rPr>
          <w:rFonts w:hint="eastAsia" w:ascii="仿宋_GB2312" w:hAnsi="仿宋_GB2312" w:cs="仿宋_GB2312"/>
        </w:rPr>
        <w:t>（1）资金管理办法等管理制度体系健全完善，不存在管理制度缺失、管理办法过期情况。</w:t>
      </w:r>
    </w:p>
    <w:p>
      <w:pPr>
        <w:spacing w:line="578" w:lineRule="exact"/>
        <w:ind w:firstLine="640" w:firstLineChars="200"/>
      </w:pPr>
      <w:r>
        <w:rPr>
          <w:rFonts w:hint="eastAsia"/>
        </w:rPr>
        <w:t>（2）分配管理。培训资金根据项目实施结果批复一次性支付，不存在资金分配。</w:t>
      </w:r>
    </w:p>
    <w:p>
      <w:pPr>
        <w:spacing w:line="578" w:lineRule="exact"/>
        <w:ind w:firstLine="640"/>
      </w:pPr>
      <w:r>
        <w:rPr>
          <w:rFonts w:hint="eastAsia"/>
        </w:rPr>
        <w:t>（3）绩效监管。项目实施按照绩效管理要求从资金支付进度、绩效目标完成情况、事后绩效评价等方面全面进行绩效监管。</w:t>
      </w:r>
    </w:p>
    <w:p>
      <w:pPr>
        <w:spacing w:line="578" w:lineRule="exact"/>
        <w:ind w:firstLine="640" w:firstLineChars="200"/>
        <w:rPr>
          <w:rFonts w:ascii="楷体_GB2312" w:hAnsi="楷体_GB2312" w:eastAsia="楷体_GB2312" w:cs="楷体_GB2312"/>
        </w:rPr>
      </w:pPr>
      <w:r>
        <w:rPr>
          <w:rFonts w:hint="eastAsia" w:ascii="楷体_GB2312" w:hAnsi="楷体_GB2312" w:eastAsia="楷体_GB2312" w:cs="楷体_GB2312"/>
        </w:rPr>
        <w:t>3.项目实施。（自评</w:t>
      </w:r>
      <w:r>
        <w:rPr>
          <w:rFonts w:ascii="楷体_GB2312" w:hAnsi="楷体_GB2312" w:eastAsia="楷体_GB2312" w:cs="楷体_GB2312"/>
        </w:rPr>
        <w:t>9</w:t>
      </w:r>
      <w:r>
        <w:rPr>
          <w:rFonts w:hint="eastAsia" w:ascii="楷体_GB2312" w:hAnsi="楷体_GB2312" w:eastAsia="楷体_GB2312" w:cs="楷体_GB2312"/>
        </w:rPr>
        <w:t>分）</w:t>
      </w:r>
    </w:p>
    <w:p>
      <w:pPr>
        <w:spacing w:line="578" w:lineRule="exact"/>
        <w:ind w:firstLine="640" w:firstLineChars="200"/>
      </w:pPr>
      <w:r>
        <w:rPr>
          <w:rFonts w:hint="eastAsia"/>
        </w:rPr>
        <w:t>（1）预算</w:t>
      </w:r>
      <w:r>
        <w:rPr>
          <w:rFonts w:hint="eastAsia"/>
          <w:lang w:val="zh-CN"/>
        </w:rPr>
        <w:t>执行。项目预算资金</w:t>
      </w:r>
      <w:r>
        <w:rPr>
          <w:rFonts w:hint="eastAsia"/>
        </w:rPr>
        <w:t>15万元，财政资金到位率100%，单位拨付15万元，资金拨付率100%。</w:t>
      </w:r>
    </w:p>
    <w:p>
      <w:pPr>
        <w:spacing w:line="578" w:lineRule="exact"/>
        <w:ind w:firstLine="640" w:firstLineChars="200"/>
        <w:rPr>
          <w:rFonts w:ascii="楷体_GB2312" w:hAnsi="楷体_GB2312" w:eastAsia="楷体_GB2312" w:cs="楷体_GB2312"/>
        </w:rPr>
      </w:pPr>
      <w:r>
        <w:rPr>
          <w:rFonts w:hint="eastAsia"/>
        </w:rPr>
        <w:t>（2）资金使用进行绩效分析。项目资金拨付依据市委组织部的项目结项审批单和培训协议金额支付，符合资金使用、拨付相关财经法规、财务管理制度及项目资金拨付审批程序，无超范围、超标准、超进度使用专项资金。</w:t>
      </w:r>
    </w:p>
    <w:p>
      <w:pPr>
        <w:spacing w:line="578" w:lineRule="exact"/>
        <w:ind w:firstLine="640" w:firstLineChars="200"/>
        <w:rPr>
          <w:rFonts w:ascii="楷体_GB2312" w:hAnsi="楷体_GB2312" w:eastAsia="楷体_GB2312" w:cs="楷体_GB2312"/>
        </w:rPr>
      </w:pPr>
      <w:r>
        <w:rPr>
          <w:rFonts w:hint="eastAsia" w:ascii="楷体_GB2312" w:hAnsi="楷体_GB2312" w:eastAsia="楷体_GB2312" w:cs="楷体_GB2312"/>
        </w:rPr>
        <w:t>4.项目结果。（自评</w:t>
      </w:r>
      <w:r>
        <w:rPr>
          <w:rFonts w:ascii="楷体_GB2312" w:hAnsi="楷体_GB2312" w:eastAsia="楷体_GB2312" w:cs="楷体_GB2312"/>
        </w:rPr>
        <w:t>9</w:t>
      </w:r>
      <w:r>
        <w:rPr>
          <w:rFonts w:hint="eastAsia" w:ascii="楷体_GB2312" w:hAnsi="楷体_GB2312" w:eastAsia="楷体_GB2312" w:cs="楷体_GB2312"/>
        </w:rPr>
        <w:t>分）</w:t>
      </w:r>
    </w:p>
    <w:p>
      <w:pPr>
        <w:spacing w:line="578" w:lineRule="exact"/>
        <w:ind w:firstLine="640" w:firstLineChars="200"/>
      </w:pPr>
      <w:r>
        <w:rPr>
          <w:rFonts w:hint="eastAsia"/>
        </w:rPr>
        <w:t>（1）目标完成。项目培训60人次，培训内容全面完成，达到项目预期目标。</w:t>
      </w:r>
    </w:p>
    <w:p>
      <w:pPr>
        <w:spacing w:line="578" w:lineRule="exact"/>
        <w:ind w:firstLine="640" w:firstLineChars="200"/>
        <w:rPr>
          <w:rFonts w:ascii="楷体_GB2312" w:hAnsi="楷体_GB2312" w:eastAsia="楷体_GB2312" w:cs="楷体_GB2312"/>
        </w:rPr>
      </w:pPr>
      <w:r>
        <w:rPr>
          <w:rFonts w:hint="eastAsia"/>
        </w:rPr>
        <w:t>（2）完成时效。项目实际完成时间与计划完成时间一致。</w:t>
      </w:r>
    </w:p>
    <w:p>
      <w:pPr>
        <w:spacing w:line="578" w:lineRule="exact"/>
        <w:ind w:firstLine="640" w:firstLineChars="200"/>
        <w:rPr>
          <w:rFonts w:eastAsia="楷体_GB2312"/>
          <w:bCs/>
          <w:color w:val="000000"/>
          <w:kern w:val="0"/>
          <w:shd w:val="clear" w:color="auto" w:fill="FFFFFF"/>
          <w:lang w:val="zh-CN"/>
        </w:rPr>
      </w:pPr>
      <w:r>
        <w:rPr>
          <w:rFonts w:hint="eastAsia" w:ascii="楷体_GB2312" w:hAnsi="宋体" w:eastAsia="楷体_GB2312"/>
          <w:bCs/>
          <w:lang w:val="zh-CN"/>
        </w:rPr>
        <w:t>（二）</w:t>
      </w:r>
      <w:r>
        <w:rPr>
          <w:rFonts w:hint="eastAsia" w:ascii="楷体_GB2312" w:hAnsi="宋体" w:eastAsia="楷体_GB2312"/>
          <w:bCs/>
        </w:rPr>
        <w:t>专用指标</w:t>
      </w:r>
      <w:r>
        <w:rPr>
          <w:rFonts w:eastAsia="楷体_GB2312"/>
          <w:bCs/>
          <w:color w:val="000000"/>
          <w:kern w:val="0"/>
          <w:shd w:val="clear" w:color="auto" w:fill="FFFFFF"/>
          <w:lang w:val="zh-CN"/>
        </w:rPr>
        <w:t>绩效分析</w:t>
      </w:r>
    </w:p>
    <w:p>
      <w:pPr>
        <w:spacing w:line="578" w:lineRule="exact"/>
        <w:ind w:firstLine="640" w:firstLineChars="200"/>
        <w:rPr>
          <w:rFonts w:ascii="楷体_GB2312" w:hAnsi="楷体_GB2312" w:eastAsia="楷体_GB2312" w:cs="楷体_GB2312"/>
          <w:bCs/>
          <w:lang w:val="zh-CN"/>
        </w:rPr>
      </w:pPr>
      <w:r>
        <w:rPr>
          <w:rFonts w:hint="eastAsia"/>
          <w:bCs/>
          <w:lang w:val="zh-CN"/>
        </w:rPr>
        <w:t>行政运转。用途合规性方面，项目部资金严格按规定用途、适用范围进行分配使用，符合专项资金管理要求；程序合规性方面，资金管理程序符合专项资金管理要求，均按照规范流程使用；标准合规性方面，资金分配属一次性支付，符合专项资金管理要求。自评3</w:t>
      </w:r>
      <w:r>
        <w:rPr>
          <w:bCs/>
          <w:lang w:val="zh-CN"/>
        </w:rPr>
        <w:t>0</w:t>
      </w:r>
      <w:r>
        <w:rPr>
          <w:rFonts w:hint="eastAsia"/>
          <w:bCs/>
          <w:lang w:val="zh-CN"/>
        </w:rPr>
        <w:t>分。</w:t>
      </w:r>
    </w:p>
    <w:p>
      <w:pPr>
        <w:spacing w:line="578" w:lineRule="exact"/>
        <w:ind w:firstLine="640"/>
        <w:rPr>
          <w:rFonts w:eastAsia="楷体_GB2312"/>
          <w:bCs/>
          <w:color w:val="000000"/>
          <w:kern w:val="0"/>
          <w:shd w:val="clear" w:color="auto" w:fill="FFFFFF"/>
          <w:lang w:val="zh-CN"/>
        </w:rPr>
      </w:pPr>
      <w:r>
        <w:rPr>
          <w:rFonts w:hint="eastAsia" w:ascii="楷体_GB2312" w:hAnsi="宋体" w:eastAsia="楷体_GB2312"/>
          <w:bCs/>
          <w:lang w:val="zh-CN"/>
        </w:rPr>
        <w:t>（三）</w:t>
      </w:r>
      <w:r>
        <w:rPr>
          <w:rFonts w:hint="eastAsia" w:ascii="楷体_GB2312" w:hAnsi="宋体" w:eastAsia="楷体_GB2312"/>
          <w:bCs/>
        </w:rPr>
        <w:t>个性指标</w:t>
      </w:r>
      <w:r>
        <w:rPr>
          <w:rFonts w:eastAsia="楷体_GB2312"/>
          <w:bCs/>
          <w:color w:val="000000"/>
          <w:kern w:val="0"/>
          <w:shd w:val="clear" w:color="auto" w:fill="FFFFFF"/>
          <w:lang w:val="zh-CN"/>
        </w:rPr>
        <w:t>绩效分析</w:t>
      </w:r>
    </w:p>
    <w:p>
      <w:pPr>
        <w:pStyle w:val="2"/>
        <w:spacing w:before="93"/>
        <w:ind w:firstLine="640" w:firstLineChars="200"/>
        <w:rPr>
          <w:rFonts w:ascii="Times New Roman"/>
          <w:kern w:val="2"/>
          <w:sz w:val="32"/>
          <w:szCs w:val="32"/>
        </w:rPr>
      </w:pPr>
      <w:r>
        <w:rPr>
          <w:rFonts w:hint="eastAsia" w:ascii="Times New Roman"/>
          <w:bCs/>
          <w:kern w:val="2"/>
          <w:sz w:val="32"/>
          <w:szCs w:val="32"/>
        </w:rPr>
        <w:t>该项目实施进一步提高参训人员综合素质和党性修养，提升国企改革水平提升率，参训人</w:t>
      </w:r>
      <w:r>
        <w:rPr>
          <w:rFonts w:hint="eastAsia" w:ascii="Times New Roman"/>
          <w:kern w:val="2"/>
          <w:sz w:val="32"/>
          <w:szCs w:val="32"/>
        </w:rPr>
        <w:t>员满意度1</w:t>
      </w:r>
      <w:r>
        <w:rPr>
          <w:rFonts w:ascii="Times New Roman"/>
          <w:kern w:val="2"/>
          <w:sz w:val="32"/>
          <w:szCs w:val="32"/>
        </w:rPr>
        <w:t>00%</w:t>
      </w:r>
      <w:r>
        <w:rPr>
          <w:rFonts w:hint="eastAsia" w:ascii="Times New Roman"/>
          <w:kern w:val="2"/>
          <w:sz w:val="32"/>
          <w:szCs w:val="32"/>
        </w:rPr>
        <w:t>。自评1</w:t>
      </w:r>
      <w:r>
        <w:rPr>
          <w:rFonts w:ascii="Times New Roman"/>
          <w:kern w:val="2"/>
          <w:sz w:val="32"/>
          <w:szCs w:val="32"/>
        </w:rPr>
        <w:t>6</w:t>
      </w:r>
      <w:r>
        <w:rPr>
          <w:rFonts w:hint="eastAsia" w:ascii="Times New Roman"/>
          <w:kern w:val="2"/>
          <w:sz w:val="32"/>
          <w:szCs w:val="32"/>
        </w:rPr>
        <w:t>分。</w:t>
      </w:r>
    </w:p>
    <w:p>
      <w:pPr>
        <w:pStyle w:val="2"/>
        <w:spacing w:before="93" w:line="600" w:lineRule="exact"/>
        <w:ind w:firstLine="640" w:firstLineChars="200"/>
        <w:rPr>
          <w:rFonts w:ascii="黑体" w:hAnsi="黑体" w:eastAsia="黑体"/>
          <w:sz w:val="32"/>
          <w:szCs w:val="32"/>
          <w:lang w:val="zh-CN"/>
        </w:rPr>
      </w:pPr>
      <w:r>
        <w:rPr>
          <w:rFonts w:hint="eastAsia" w:ascii="黑体" w:hAnsi="黑体" w:eastAsia="黑体"/>
          <w:sz w:val="32"/>
          <w:szCs w:val="32"/>
          <w:lang w:val="zh-CN"/>
        </w:rPr>
        <w:t>四、评价结论</w:t>
      </w:r>
    </w:p>
    <w:p>
      <w:pPr>
        <w:pStyle w:val="2"/>
        <w:spacing w:before="93" w:line="600" w:lineRule="exact"/>
        <w:ind w:firstLine="640" w:firstLineChars="200"/>
        <w:rPr>
          <w:rFonts w:hAnsi="仿宋_GB2312" w:cs="仿宋_GB2312"/>
          <w:sz w:val="32"/>
          <w:szCs w:val="32"/>
        </w:rPr>
      </w:pPr>
      <w:r>
        <w:rPr>
          <w:rFonts w:hint="eastAsia" w:hAnsi="仿宋_GB2312" w:cs="仿宋_GB2312"/>
          <w:sz w:val="32"/>
          <w:szCs w:val="32"/>
        </w:rPr>
        <w:t>专项预算项目绩效自评总体实施情况较好，资金拨付及时，使用合理，严格按照预算计划执行，未出现资金挪用或浪费现象，各项任务按计划推进，达到预期目标。本次学习让参训干部进一步开阔了视野、增长了见识，打开了工作思路，更好地指导工作实践。自评1</w:t>
      </w:r>
      <w:r>
        <w:rPr>
          <w:rFonts w:hAnsi="仿宋_GB2312" w:cs="仿宋_GB2312"/>
          <w:sz w:val="32"/>
          <w:szCs w:val="32"/>
        </w:rPr>
        <w:t>00</w:t>
      </w:r>
      <w:r>
        <w:rPr>
          <w:rFonts w:hint="eastAsia" w:hAnsi="仿宋_GB2312" w:cs="仿宋_GB2312"/>
          <w:sz w:val="32"/>
          <w:szCs w:val="32"/>
        </w:rPr>
        <w:t>分。</w:t>
      </w:r>
    </w:p>
    <w:p>
      <w:pPr>
        <w:pStyle w:val="2"/>
        <w:spacing w:before="93" w:line="600" w:lineRule="exact"/>
        <w:ind w:firstLine="640" w:firstLineChars="200"/>
        <w:rPr>
          <w:rFonts w:ascii="黑体" w:hAnsi="黑体" w:eastAsia="黑体"/>
          <w:sz w:val="32"/>
          <w:szCs w:val="32"/>
          <w:lang w:val="zh-CN"/>
        </w:rPr>
      </w:pPr>
      <w:r>
        <w:rPr>
          <w:rFonts w:hint="eastAsia" w:ascii="黑体" w:hAnsi="黑体" w:eastAsia="黑体"/>
          <w:sz w:val="32"/>
          <w:szCs w:val="32"/>
          <w:lang w:val="zh-CN"/>
        </w:rPr>
        <w:t>五、存在主要问题</w:t>
      </w:r>
    </w:p>
    <w:p>
      <w:pPr>
        <w:pStyle w:val="2"/>
        <w:spacing w:before="93" w:line="600" w:lineRule="exact"/>
        <w:ind w:firstLine="640" w:firstLineChars="200"/>
        <w:rPr>
          <w:rFonts w:hAnsi="仿宋_GB2312" w:cs="仿宋_GB2312"/>
          <w:sz w:val="32"/>
          <w:szCs w:val="32"/>
        </w:rPr>
      </w:pPr>
      <w:r>
        <w:rPr>
          <w:rFonts w:hint="eastAsia" w:hAnsi="仿宋_GB2312" w:cs="仿宋_GB2312"/>
          <w:sz w:val="32"/>
          <w:szCs w:val="32"/>
        </w:rPr>
        <w:t>无</w:t>
      </w:r>
    </w:p>
    <w:p>
      <w:pPr>
        <w:pStyle w:val="2"/>
        <w:spacing w:before="93" w:line="600" w:lineRule="exact"/>
        <w:ind w:firstLine="640" w:firstLineChars="200"/>
        <w:rPr>
          <w:rFonts w:ascii="黑体" w:hAnsi="黑体" w:eastAsia="黑体"/>
          <w:sz w:val="32"/>
          <w:szCs w:val="32"/>
          <w:lang w:val="zh-CN"/>
        </w:rPr>
      </w:pPr>
      <w:r>
        <w:rPr>
          <w:rFonts w:hint="eastAsia" w:ascii="黑体" w:hAnsi="黑体" w:eastAsia="黑体"/>
          <w:sz w:val="32"/>
          <w:szCs w:val="32"/>
          <w:lang w:val="zh-CN"/>
        </w:rPr>
        <w:t>六、改进建议</w:t>
      </w:r>
    </w:p>
    <w:p>
      <w:pPr>
        <w:tabs>
          <w:tab w:val="left" w:pos="1911"/>
        </w:tabs>
        <w:jc w:val="left"/>
        <w:rPr>
          <w:rFonts w:ascii="仿宋_GB2312" w:hAnsi="仿宋_GB2312" w:cs="仿宋_GB2312"/>
          <w:kern w:val="0"/>
          <w:lang w:val="en"/>
        </w:rPr>
      </w:pPr>
      <w:r>
        <w:rPr>
          <w:rFonts w:hint="eastAsia" w:ascii="仿宋_GB2312" w:hAnsi="仿宋_GB2312" w:cs="仿宋_GB2312"/>
          <w:kern w:val="0"/>
          <w:shd w:val="clear" w:color="auto" w:fill="FFFFFF"/>
          <w:lang w:val="zh-CN"/>
        </w:rPr>
        <w:t xml:space="preserve"> </w:t>
      </w:r>
      <w:r>
        <w:rPr>
          <w:rFonts w:hint="eastAsia" w:ascii="仿宋_GB2312" w:hAnsi="仿宋_GB2312" w:cs="仿宋_GB2312"/>
          <w:kern w:val="0"/>
        </w:rPr>
        <w:t xml:space="preserve">   无</w:t>
      </w: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38"/>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关于2023年凤凰山棚户区国开行</w:t>
      </w:r>
    </w:p>
    <w:p>
      <w:pPr>
        <w:pStyle w:val="38"/>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贷款隐债化解专项预算项目绩效评价报告</w:t>
      </w:r>
    </w:p>
    <w:p>
      <w:pPr>
        <w:pStyle w:val="38"/>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78" w:lineRule="exact"/>
        <w:ind w:firstLine="642" w:firstLineChars="200"/>
        <w:rPr>
          <w:rFonts w:ascii="黑体" w:hAnsi="宋体" w:eastAsia="黑体"/>
          <w:lang w:val="zh-CN"/>
        </w:rPr>
      </w:pPr>
      <w:r>
        <w:rPr>
          <w:rFonts w:hint="eastAsia" w:ascii="楷体_GB2312" w:hAnsi="宋体" w:eastAsia="楷体_GB2312"/>
          <w:b/>
          <w:szCs w:val="32"/>
          <w:lang w:val="zh-CN"/>
        </w:rPr>
        <w:t>（一）设立背景及基本情况。</w:t>
      </w:r>
      <w:r>
        <w:rPr>
          <w:rFonts w:hint="eastAsia" w:ascii="仿宋_GB2312" w:hAnsi="仿宋_GB2312" w:cs="仿宋_GB2312"/>
          <w:szCs w:val="32"/>
        </w:rPr>
        <w:t>2010年，按照市政府发展规划，广元市投资发展集团有限公司作为凤凰山棚户区改造项目业主。2011年为确保棚户区改造项目收支平衡，市投发集团出资成立了广元广</w:t>
      </w:r>
      <w:r>
        <w:rPr>
          <w:rFonts w:hint="eastAsia" w:ascii="微软雅黑" w:hAnsi="微软雅黑" w:eastAsia="微软雅黑" w:cs="微软雅黑"/>
          <w:szCs w:val="32"/>
        </w:rPr>
        <w:t>曌</w:t>
      </w:r>
      <w:r>
        <w:rPr>
          <w:rFonts w:hint="eastAsia" w:ascii="仿宋_GB2312" w:hAnsi="仿宋_GB2312" w:cs="仿宋_GB2312"/>
          <w:szCs w:val="32"/>
        </w:rPr>
        <w:t>置业有限公司负责实施该项目。</w:t>
      </w:r>
      <w:r>
        <w:rPr>
          <w:rFonts w:hint="eastAsia" w:ascii="仿宋_GB2312" w:hAnsi="仿宋_GB2312" w:cs="仿宋_GB2312"/>
          <w:kern w:val="0"/>
          <w:szCs w:val="32"/>
          <w:shd w:val="clear" w:color="auto" w:fill="FFFFFF"/>
          <w:lang w:val="zh-CN"/>
        </w:rPr>
        <w:t>凤凰山棚户区位于广元市嘉陵片区东山公园南侧至广旺铁路、东至栖凤路、西至蜀门北路。该项目方案规划总建筑面积1101266.6平方米，其中：住宅面积652036.5平方米，商业面积194900平方米，物业面积1200平方米，地下建筑面积约232922.9平方米。容积率3.0，建筑密度28%，绿化率32.50%，住宅户数6695户，机动车位6947个，非机动车位8684个，项目估算总投资40.39亿元。</w:t>
      </w:r>
      <w:r>
        <w:rPr>
          <w:rFonts w:hint="eastAsia" w:ascii="仿宋_GB2312" w:hAnsi="仿宋_GB2312" w:cs="仿宋_GB2312"/>
          <w:kern w:val="0"/>
          <w:shd w:val="clear" w:color="auto" w:fill="FFFFFF"/>
        </w:rPr>
        <w:t>业主主管部门为市国资委，负责监督项目建设是否按计划进度安全有序推进</w:t>
      </w:r>
      <w:r>
        <w:rPr>
          <w:rFonts w:hint="eastAsia" w:ascii="仿宋_GB2312" w:hAnsi="仿宋_GB2312" w:cs="仿宋_GB2312"/>
          <w:kern w:val="0"/>
          <w:shd w:val="clear" w:color="auto" w:fill="FFFFFF"/>
          <w:lang w:val="zh-CN"/>
        </w:rPr>
        <w:t>。</w:t>
      </w:r>
    </w:p>
    <w:p>
      <w:pPr>
        <w:spacing w:line="560" w:lineRule="exact"/>
        <w:ind w:firstLine="640"/>
        <w:rPr>
          <w:rFonts w:ascii="楷体_GB2312" w:hAnsi="宋体"/>
          <w:b/>
          <w:lang w:val="zh-CN"/>
        </w:rPr>
      </w:pPr>
      <w:r>
        <w:rPr>
          <w:rFonts w:hint="eastAsia" w:ascii="楷体_GB2312" w:hAnsi="宋体" w:eastAsia="楷体_GB2312"/>
          <w:b/>
          <w:szCs w:val="32"/>
          <w:lang w:val="zh-CN"/>
        </w:rPr>
        <w:t>（二）</w:t>
      </w:r>
      <w:r>
        <w:rPr>
          <w:rFonts w:ascii="楷体_GB2312" w:hAnsi="宋体" w:eastAsia="楷体_GB2312"/>
          <w:b/>
          <w:szCs w:val="32"/>
        </w:rPr>
        <w:t>实施目的及支持方向</w:t>
      </w:r>
      <w:r>
        <w:rPr>
          <w:rFonts w:hint="eastAsia" w:ascii="楷体_GB2312" w:hAnsi="宋体" w:eastAsia="楷体_GB2312"/>
          <w:b/>
          <w:szCs w:val="32"/>
        </w:rPr>
        <w:t>。</w:t>
      </w:r>
      <w:r>
        <w:rPr>
          <w:rFonts w:hint="eastAsia" w:ascii="仿宋" w:hAnsi="仿宋" w:eastAsia="仿宋" w:cs="仿宋"/>
          <w:szCs w:val="32"/>
        </w:rPr>
        <w:t>项目管理制度健全，项目建设管理规范，并参</w:t>
      </w:r>
      <w:r>
        <w:rPr>
          <w:rFonts w:hint="eastAsia" w:ascii="仿宋_GB2312"/>
          <w:szCs w:val="32"/>
        </w:rPr>
        <w:t>照国家基建有关制度制定了《项目核算制度》、《项目财务管理办法》、《项目资金管理办法》等相关制度并严格执行。除</w:t>
      </w:r>
      <w:r>
        <w:rPr>
          <w:rFonts w:hint="eastAsia" w:ascii="仿宋_GB2312" w:hAnsi="仿宋_GB2312" w:cs="仿宋_GB2312"/>
          <w:kern w:val="0"/>
          <w:shd w:val="clear" w:color="auto" w:fill="FFFFFF"/>
        </w:rPr>
        <w:t>财政安排预算资金外，不足部分</w:t>
      </w:r>
      <w:r>
        <w:rPr>
          <w:rFonts w:hint="eastAsia"/>
          <w:szCs w:val="32"/>
        </w:rPr>
        <w:t>资金来源为广</w:t>
      </w:r>
      <w:r>
        <w:rPr>
          <w:rFonts w:hint="eastAsia" w:ascii="微软雅黑" w:hAnsi="微软雅黑" w:eastAsia="微软雅黑" w:cs="微软雅黑"/>
          <w:szCs w:val="32"/>
        </w:rPr>
        <w:t>曌</w:t>
      </w:r>
      <w:r>
        <w:rPr>
          <w:rFonts w:hint="eastAsia" w:ascii="仿宋_GB2312" w:hAnsi="仿宋_GB2312" w:cs="仿宋_GB2312"/>
          <w:szCs w:val="32"/>
        </w:rPr>
        <w:t>公司</w:t>
      </w:r>
      <w:r>
        <w:rPr>
          <w:rFonts w:hint="eastAsia"/>
          <w:szCs w:val="32"/>
        </w:rPr>
        <w:t>凤凰山棚户区项目收益。</w:t>
      </w:r>
      <w:r>
        <w:rPr>
          <w:rFonts w:hint="eastAsia" w:ascii="仿宋_GB2312" w:hAnsi="仿宋_GB2312" w:cs="仿宋_GB2312"/>
          <w:kern w:val="0"/>
          <w:shd w:val="clear" w:color="auto" w:fill="FFFFFF"/>
        </w:rPr>
        <w:t>改善了城乡居民的人居环境、促进社会经济增长和解决城市就业问题及城市生态环境的建设有着重要的意义；征拆安置对拓展城市空间，推进广元市政基础设施建设进程，提高为社会公众服务质量，改善城乡居民的人居环境、促进社会经济增长和解决城市就业问题有着重要的意义。各项目的建设为我市发展规划提供了先决条件。</w:t>
      </w:r>
    </w:p>
    <w:p>
      <w:pPr>
        <w:widowControl/>
        <w:adjustRightInd w:val="0"/>
        <w:snapToGrid w:val="0"/>
        <w:spacing w:line="578" w:lineRule="exact"/>
        <w:ind w:firstLine="642" w:firstLineChars="200"/>
        <w:contextualSpacing/>
        <w:jc w:val="left"/>
        <w:rPr>
          <w:rFonts w:ascii="仿宋_GB2312" w:hAnsi="仿宋_GB2312" w:cs="仿宋_GB2312"/>
          <w:kern w:val="0"/>
          <w:shd w:val="clear" w:color="auto" w:fill="FFFFFF"/>
          <w:lang w:val="zh-CN"/>
        </w:rPr>
      </w:pPr>
      <w:r>
        <w:rPr>
          <w:rFonts w:hint="eastAsia" w:ascii="楷体_GB2312" w:hAnsi="宋体" w:eastAsia="楷体_GB2312"/>
          <w:b/>
          <w:szCs w:val="32"/>
          <w:lang w:val="zh-CN"/>
        </w:rPr>
        <w:t>（三）</w:t>
      </w:r>
      <w:r>
        <w:rPr>
          <w:rFonts w:ascii="楷体_GB2312" w:hAnsi="宋体" w:eastAsia="楷体_GB2312"/>
          <w:b/>
          <w:szCs w:val="32"/>
        </w:rPr>
        <w:t>预算安排及分配管理</w:t>
      </w:r>
      <w:r>
        <w:rPr>
          <w:rFonts w:hint="eastAsia" w:ascii="楷体_GB2312" w:hAnsi="宋体" w:eastAsia="楷体_GB2312"/>
          <w:b/>
          <w:szCs w:val="32"/>
          <w:lang w:val="zh-CN"/>
        </w:rPr>
        <w:t>。</w:t>
      </w:r>
      <w:r>
        <w:rPr>
          <w:rFonts w:hint="eastAsia" w:ascii="仿宋_GB2312" w:hAnsi="仿宋_GB2312" w:cs="仿宋_GB2312"/>
          <w:kern w:val="0"/>
          <w:shd w:val="clear" w:color="auto" w:fill="FFFFFF"/>
        </w:rPr>
        <w:t>2023年末，广</w:t>
      </w:r>
      <w:r>
        <w:rPr>
          <w:rFonts w:hint="eastAsia" w:ascii="微软雅黑" w:hAnsi="微软雅黑" w:eastAsia="微软雅黑" w:cs="微软雅黑"/>
          <w:kern w:val="0"/>
          <w:shd w:val="clear" w:color="auto" w:fill="FFFFFF"/>
        </w:rPr>
        <w:t>曌</w:t>
      </w:r>
      <w:r>
        <w:rPr>
          <w:rFonts w:hint="eastAsia" w:ascii="仿宋_GB2312" w:hAnsi="仿宋_GB2312" w:cs="仿宋_GB2312"/>
          <w:kern w:val="0"/>
          <w:shd w:val="clear" w:color="auto" w:fill="FFFFFF"/>
        </w:rPr>
        <w:t>公司根据隐债化解方案及资金急需情况，向市国资委报送年度资金需求计划，市财政局根据当年预算安排情况，拟定年度其他国有土地使用权出让收入安排的支出资金计划，2023年度计划资金安排461.94万元，市财政局同时下达指标文件。资金分配考虑缓急情况和建设进度，</w:t>
      </w:r>
      <w:r>
        <w:rPr>
          <w:rFonts w:hint="eastAsia" w:ascii="仿宋_GB2312" w:hAnsi="仿宋_GB2312" w:cs="仿宋_GB2312"/>
          <w:kern w:val="0"/>
          <w:shd w:val="clear" w:color="auto" w:fill="FFFFFF"/>
          <w:lang w:val="zh-CN"/>
        </w:rPr>
        <w:t>所有项目点实施完成</w:t>
      </w:r>
      <w:r>
        <w:rPr>
          <w:rFonts w:hint="eastAsia" w:ascii="仿宋_GB2312" w:hAnsi="仿宋_GB2312" w:cs="仿宋_GB2312"/>
          <w:kern w:val="0"/>
          <w:shd w:val="clear" w:color="auto" w:fill="FFFFFF"/>
        </w:rPr>
        <w:t>后应予支付资金，项目建设情况与</w:t>
      </w:r>
      <w:r>
        <w:rPr>
          <w:rFonts w:hint="eastAsia" w:ascii="仿宋_GB2312" w:hAnsi="仿宋_GB2312" w:cs="仿宋_GB2312"/>
          <w:kern w:val="0"/>
          <w:shd w:val="clear" w:color="auto" w:fill="FFFFFF"/>
          <w:lang w:val="zh-CN"/>
        </w:rPr>
        <w:t>计划情况</w:t>
      </w:r>
      <w:r>
        <w:rPr>
          <w:rFonts w:hint="eastAsia" w:ascii="仿宋_GB2312" w:hAnsi="仿宋_GB2312" w:cs="仿宋_GB2312"/>
          <w:kern w:val="0"/>
          <w:shd w:val="clear" w:color="auto" w:fill="FFFFFF"/>
        </w:rPr>
        <w:t>一致并保质保量</w:t>
      </w:r>
      <w:r>
        <w:rPr>
          <w:rFonts w:hint="eastAsia" w:ascii="仿宋_GB2312" w:hAnsi="仿宋_GB2312" w:cs="仿宋_GB2312"/>
          <w:kern w:val="0"/>
          <w:shd w:val="clear" w:color="auto" w:fill="FFFFFF"/>
          <w:lang w:val="zh-CN"/>
        </w:rPr>
        <w:t>。</w:t>
      </w:r>
    </w:p>
    <w:p>
      <w:pPr>
        <w:adjustRightInd w:val="0"/>
        <w:snapToGrid w:val="0"/>
        <w:spacing w:line="578" w:lineRule="exact"/>
        <w:ind w:firstLine="642" w:firstLineChars="200"/>
        <w:rPr>
          <w:rFonts w:ascii="仿宋_GB2312" w:hAnsi="仿宋_GB2312" w:cs="仿宋_GB2312"/>
          <w:kern w:val="0"/>
          <w:shd w:val="clear" w:color="auto" w:fill="FFFFFF"/>
          <w:lang w:val="zh-CN"/>
        </w:rPr>
      </w:pPr>
      <w:r>
        <w:rPr>
          <w:rFonts w:hint="eastAsia" w:ascii="楷体_GB2312" w:hAnsi="宋体" w:eastAsia="楷体_GB2312"/>
          <w:b/>
          <w:szCs w:val="32"/>
          <w:lang w:val="zh-CN"/>
        </w:rPr>
        <w:t>（四）项目绩效目标设置。</w:t>
      </w:r>
      <w:r>
        <w:rPr>
          <w:rFonts w:ascii="仿宋_GB2312" w:hAnsi="仿宋_GB2312" w:cs="仿宋_GB2312"/>
          <w:kern w:val="0"/>
          <w:shd w:val="clear" w:color="auto" w:fill="FFFFFF"/>
          <w:lang w:val="zh-CN"/>
        </w:rPr>
        <w:t>根据</w:t>
      </w:r>
      <w:r>
        <w:rPr>
          <w:rFonts w:hint="eastAsia" w:ascii="仿宋_GB2312" w:hAnsi="仿宋_GB2312" w:cs="仿宋_GB2312"/>
          <w:kern w:val="0"/>
          <w:shd w:val="clear" w:color="auto" w:fill="FFFFFF"/>
          <w:lang w:val="zh-CN"/>
        </w:rPr>
        <w:t>项目实际情况结合</w:t>
      </w:r>
      <w:r>
        <w:rPr>
          <w:rFonts w:ascii="仿宋_GB2312" w:hAnsi="仿宋_GB2312" w:cs="仿宋_GB2312"/>
          <w:kern w:val="0"/>
          <w:shd w:val="clear" w:color="auto" w:fill="FFFFFF"/>
          <w:lang w:val="zh-CN"/>
        </w:rPr>
        <w:t>预算绩效评价指标体系“</w:t>
      </w:r>
      <w:r>
        <w:rPr>
          <w:rFonts w:hint="eastAsia" w:ascii="仿宋_GB2312" w:hAnsi="仿宋_GB2312" w:cs="仿宋_GB2312"/>
          <w:kern w:val="0"/>
          <w:shd w:val="clear" w:color="auto" w:fill="FFFFFF"/>
          <w:lang w:val="zh-CN"/>
        </w:rPr>
        <w:t>通用指标</w:t>
      </w:r>
      <w:r>
        <w:rPr>
          <w:rFonts w:ascii="仿宋_GB2312" w:hAnsi="仿宋_GB2312" w:cs="仿宋_GB2312"/>
          <w:kern w:val="0"/>
          <w:shd w:val="clear" w:color="auto" w:fill="FFFFFF"/>
          <w:lang w:val="zh-CN"/>
        </w:rPr>
        <w:t>”</w:t>
      </w:r>
      <w:r>
        <w:rPr>
          <w:rFonts w:hint="eastAsia" w:ascii="仿宋_GB2312" w:hAnsi="仿宋_GB2312" w:cs="仿宋_GB2312"/>
          <w:kern w:val="0"/>
          <w:shd w:val="clear" w:color="auto" w:fill="FFFFFF"/>
          <w:lang w:val="zh-CN"/>
        </w:rPr>
        <w:t>“专用指标”“个性指标”</w:t>
      </w:r>
      <w:r>
        <w:rPr>
          <w:rFonts w:ascii="仿宋_GB2312" w:hAnsi="仿宋_GB2312" w:cs="仿宋_GB2312"/>
          <w:kern w:val="0"/>
          <w:shd w:val="clear" w:color="auto" w:fill="FFFFFF"/>
          <w:lang w:val="zh-CN"/>
        </w:rPr>
        <w:t>涉及</w:t>
      </w:r>
      <w:r>
        <w:rPr>
          <w:rFonts w:hint="eastAsia" w:ascii="仿宋_GB2312" w:hAnsi="仿宋_GB2312" w:cs="仿宋_GB2312"/>
          <w:kern w:val="0"/>
          <w:shd w:val="clear" w:color="auto" w:fill="FFFFFF"/>
          <w:lang w:val="zh-CN"/>
        </w:rPr>
        <w:t>二、三级</w:t>
      </w:r>
      <w:r>
        <w:rPr>
          <w:rFonts w:ascii="仿宋_GB2312" w:hAnsi="仿宋_GB2312" w:cs="仿宋_GB2312"/>
          <w:kern w:val="0"/>
          <w:shd w:val="clear" w:color="auto" w:fill="FFFFFF"/>
          <w:lang w:val="zh-CN"/>
        </w:rPr>
        <w:t>指标</w:t>
      </w:r>
      <w:r>
        <w:rPr>
          <w:rFonts w:hint="eastAsia" w:ascii="仿宋_GB2312" w:hAnsi="仿宋_GB2312" w:cs="仿宋_GB2312"/>
          <w:kern w:val="0"/>
          <w:shd w:val="clear" w:color="auto" w:fill="FFFFFF"/>
          <w:lang w:val="zh-CN"/>
        </w:rPr>
        <w:t>对本项目</w:t>
      </w:r>
      <w:r>
        <w:rPr>
          <w:rFonts w:ascii="仿宋_GB2312" w:hAnsi="仿宋_GB2312" w:cs="仿宋_GB2312"/>
          <w:kern w:val="0"/>
          <w:shd w:val="clear" w:color="auto" w:fill="FFFFFF"/>
          <w:lang w:val="zh-CN"/>
        </w:rPr>
        <w:t>进行</w:t>
      </w:r>
      <w:r>
        <w:rPr>
          <w:rFonts w:hint="eastAsia" w:ascii="仿宋_GB2312" w:hAnsi="仿宋_GB2312" w:cs="仿宋_GB2312"/>
          <w:kern w:val="0"/>
          <w:shd w:val="clear" w:color="auto" w:fill="FFFFFF"/>
          <w:lang w:val="zh-CN"/>
        </w:rPr>
        <w:t>逐项</w:t>
      </w:r>
      <w:r>
        <w:rPr>
          <w:rFonts w:ascii="仿宋_GB2312" w:hAnsi="仿宋_GB2312" w:cs="仿宋_GB2312"/>
          <w:kern w:val="0"/>
          <w:shd w:val="clear" w:color="auto" w:fill="FFFFFF"/>
          <w:lang w:val="zh-CN"/>
        </w:rPr>
        <w:t>绩效分析</w:t>
      </w:r>
      <w:r>
        <w:rPr>
          <w:rFonts w:hint="eastAsia" w:ascii="仿宋_GB2312" w:hAnsi="仿宋_GB2312" w:cs="仿宋_GB2312"/>
          <w:kern w:val="0"/>
          <w:shd w:val="clear" w:color="auto" w:fill="FFFFFF"/>
          <w:lang w:val="zh-CN"/>
        </w:rPr>
        <w:t>，并填写项目自评工作报告。</w:t>
      </w:r>
    </w:p>
    <w:p>
      <w:pPr>
        <w:adjustRightInd w:val="0"/>
        <w:snapToGrid w:val="0"/>
        <w:spacing w:line="578" w:lineRule="exact"/>
        <w:ind w:firstLine="640" w:firstLineChars="200"/>
        <w:rPr>
          <w:rFonts w:ascii="黑体" w:hAnsi="宋体" w:eastAsia="黑体"/>
        </w:rPr>
      </w:pPr>
      <w:r>
        <w:rPr>
          <w:rFonts w:hint="eastAsia" w:ascii="黑体" w:hAnsi="宋体" w:eastAsia="黑体"/>
        </w:rPr>
        <w:t>二、评价实施</w:t>
      </w:r>
    </w:p>
    <w:p>
      <w:pPr>
        <w:spacing w:line="578" w:lineRule="exact"/>
        <w:ind w:firstLine="640"/>
      </w:pPr>
      <w:r>
        <w:rPr>
          <w:rFonts w:hint="eastAsia" w:ascii="楷体_GB2312" w:hAnsi="宋体" w:eastAsia="楷体_GB2312"/>
          <w:b/>
          <w:szCs w:val="32"/>
          <w:lang w:val="zh-CN"/>
        </w:rPr>
        <w:t>（一）评价目的。</w:t>
      </w:r>
      <w:r>
        <w:t>通过</w:t>
      </w:r>
      <w:r>
        <w:rPr>
          <w:rFonts w:hint="eastAsia"/>
        </w:rPr>
        <w:t>项目绩效自评体现项目的经济效益、社会效益、和环境效益。</w:t>
      </w:r>
    </w:p>
    <w:p>
      <w:pPr>
        <w:adjustRightInd w:val="0"/>
        <w:snapToGrid w:val="0"/>
        <w:spacing w:line="578" w:lineRule="exact"/>
        <w:ind w:firstLine="642" w:firstLineChars="200"/>
      </w:pPr>
      <w:r>
        <w:rPr>
          <w:rFonts w:hint="eastAsia" w:ascii="楷体_GB2312" w:hAnsi="宋体" w:eastAsia="楷体_GB2312"/>
          <w:b/>
          <w:szCs w:val="32"/>
          <w:lang w:val="zh-CN"/>
        </w:rPr>
        <w:t>（二）预设问题及评价重点。</w:t>
      </w:r>
      <w:r>
        <w:rPr>
          <w:rFonts w:hint="eastAsia"/>
          <w:szCs w:val="32"/>
        </w:rPr>
        <w:t>按照凤凰山棚户区改造项目国开行贷款资金使用协议，按期归还国开行贷款，化解广</w:t>
      </w:r>
      <w:r>
        <w:rPr>
          <w:rFonts w:hint="eastAsia" w:ascii="微软雅黑" w:hAnsi="微软雅黑" w:eastAsia="微软雅黑" w:cs="微软雅黑"/>
          <w:szCs w:val="32"/>
        </w:rPr>
        <w:t>曌</w:t>
      </w:r>
      <w:r>
        <w:rPr>
          <w:rFonts w:hint="eastAsia" w:ascii="仿宋_GB2312" w:hAnsi="仿宋_GB2312" w:cs="仿宋_GB2312"/>
          <w:szCs w:val="32"/>
        </w:rPr>
        <w:t>公司隐性债务。</w:t>
      </w:r>
      <w:r>
        <w:rPr>
          <w:rFonts w:hint="eastAsia"/>
        </w:rPr>
        <w:t>财政再根据2023年财政预算资金计划，年底将预算内资金支付至我公司，资金整体利用效益较好。</w:t>
      </w:r>
    </w:p>
    <w:p>
      <w:pPr>
        <w:adjustRightInd w:val="0"/>
        <w:snapToGrid w:val="0"/>
        <w:spacing w:line="578" w:lineRule="exact"/>
        <w:ind w:firstLine="642" w:firstLineChars="200"/>
        <w:rPr>
          <w:lang w:val="zh-CN"/>
        </w:rPr>
      </w:pPr>
      <w:r>
        <w:rPr>
          <w:rFonts w:hint="eastAsia" w:ascii="楷体_GB2312" w:hAnsi="宋体" w:eastAsia="楷体_GB2312"/>
          <w:b/>
          <w:szCs w:val="32"/>
          <w:lang w:val="zh-CN"/>
        </w:rPr>
        <w:t>（三）评价选点。</w:t>
      </w:r>
      <w:r>
        <w:rPr>
          <w:rFonts w:hint="eastAsia"/>
          <w:lang w:val="zh-CN"/>
        </w:rPr>
        <w:t>在项目周边进行随机访问。</w:t>
      </w:r>
    </w:p>
    <w:p>
      <w:pPr>
        <w:spacing w:line="578" w:lineRule="exact"/>
        <w:ind w:firstLine="640"/>
      </w:pPr>
      <w:r>
        <w:rPr>
          <w:rFonts w:hint="eastAsia" w:ascii="楷体_GB2312" w:hAnsi="宋体" w:eastAsia="楷体_GB2312"/>
          <w:b/>
          <w:szCs w:val="32"/>
          <w:lang w:val="zh-CN"/>
        </w:rPr>
        <w:t>（四）评价方法。</w:t>
      </w:r>
      <w:r>
        <w:t>根据项目情况和评价重点</w:t>
      </w:r>
      <w:r>
        <w:rPr>
          <w:rFonts w:hint="eastAsia"/>
        </w:rPr>
        <w:t>，</w:t>
      </w:r>
      <w:r>
        <w:t>采用</w:t>
      </w:r>
      <w:r>
        <w:rPr>
          <w:rFonts w:hint="eastAsia"/>
        </w:rPr>
        <w:t>了</w:t>
      </w:r>
      <w:r>
        <w:t>案卷研究法、单位自评法、</w:t>
      </w:r>
      <w:r>
        <w:rPr>
          <w:rFonts w:hint="eastAsia"/>
        </w:rPr>
        <w:t>随机访问</w:t>
      </w:r>
      <w:r>
        <w:t>等多种方法</w:t>
      </w:r>
      <w:r>
        <w:rPr>
          <w:rFonts w:hint="eastAsia"/>
        </w:rPr>
        <w:t>。</w:t>
      </w:r>
    </w:p>
    <w:p>
      <w:pPr>
        <w:spacing w:line="578" w:lineRule="exact"/>
        <w:ind w:firstLine="640"/>
        <w:rPr>
          <w:bCs/>
        </w:rPr>
      </w:pPr>
      <w:r>
        <w:rPr>
          <w:rFonts w:hint="eastAsia" w:ascii="楷体_GB2312" w:hAnsi="宋体" w:eastAsia="楷体_GB2312"/>
          <w:b/>
          <w:szCs w:val="32"/>
          <w:lang w:val="zh-CN"/>
        </w:rPr>
        <w:t>（五）评价组织。</w:t>
      </w:r>
      <w:r>
        <w:rPr>
          <w:rFonts w:hint="eastAsia"/>
        </w:rPr>
        <w:t>由财务部及工程部组成评价小组，财务部对财务指标进行自评价，工程部对工程类指标进行自评价。</w:t>
      </w:r>
    </w:p>
    <w:p>
      <w:pPr>
        <w:adjustRightInd w:val="0"/>
        <w:snapToGrid w:val="0"/>
        <w:spacing w:line="578"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pPr>
      <w:r>
        <w:rPr>
          <w:szCs w:val="32"/>
          <w:lang w:val="zh-CN"/>
        </w:rPr>
        <w:t>根据</w:t>
      </w:r>
      <w:r>
        <w:rPr>
          <w:rFonts w:hint="eastAsia"/>
          <w:szCs w:val="32"/>
          <w:lang w:val="zh-CN"/>
        </w:rPr>
        <w:t>项目</w:t>
      </w:r>
      <w:r>
        <w:rPr>
          <w:szCs w:val="32"/>
          <w:lang w:val="zh-CN"/>
        </w:rPr>
        <w:t>预算绩效评价指标体系“</w:t>
      </w:r>
      <w:r>
        <w:rPr>
          <w:rFonts w:hint="eastAsia"/>
          <w:szCs w:val="32"/>
          <w:lang w:val="zh-CN"/>
        </w:rPr>
        <w:t>通用指标</w:t>
      </w:r>
      <w:r>
        <w:rPr>
          <w:szCs w:val="32"/>
          <w:lang w:val="zh-CN"/>
        </w:rPr>
        <w:t>”</w:t>
      </w:r>
      <w:r>
        <w:rPr>
          <w:rFonts w:hint="eastAsia"/>
          <w:szCs w:val="32"/>
          <w:lang w:val="zh-CN"/>
        </w:rPr>
        <w:t>“专用指标”“个性指标”</w:t>
      </w:r>
      <w:r>
        <w:rPr>
          <w:szCs w:val="32"/>
          <w:lang w:val="zh-CN"/>
        </w:rPr>
        <w:t>涉及</w:t>
      </w:r>
      <w:r>
        <w:rPr>
          <w:rFonts w:hint="eastAsia"/>
          <w:szCs w:val="32"/>
          <w:lang w:val="zh-CN"/>
        </w:rPr>
        <w:t>二、三级</w:t>
      </w:r>
      <w:r>
        <w:rPr>
          <w:szCs w:val="32"/>
          <w:lang w:val="zh-CN"/>
        </w:rPr>
        <w:t>指标进行</w:t>
      </w:r>
      <w:r>
        <w:rPr>
          <w:rFonts w:hint="eastAsia"/>
          <w:szCs w:val="32"/>
          <w:lang w:val="zh-CN"/>
        </w:rPr>
        <w:t>逐项</w:t>
      </w:r>
      <w:r>
        <w:rPr>
          <w:szCs w:val="32"/>
          <w:lang w:val="zh-CN"/>
        </w:rPr>
        <w:t>绩效分析</w:t>
      </w:r>
      <w:r>
        <w:rPr>
          <w:rFonts w:hint="eastAsia"/>
          <w:szCs w:val="32"/>
          <w:lang w:val="zh-CN"/>
        </w:rPr>
        <w:t>并评分</w:t>
      </w:r>
      <w:r>
        <w:rPr>
          <w:rFonts w:hint="eastAsia"/>
          <w:szCs w:val="32"/>
        </w:rPr>
        <w:t>。</w:t>
      </w:r>
    </w:p>
    <w:p>
      <w:pPr>
        <w:spacing w:line="578" w:lineRule="exact"/>
        <w:ind w:firstLine="640"/>
        <w:rPr>
          <w:rFonts w:ascii="楷体_GB2312" w:hAnsi="宋体" w:eastAsia="楷体_GB2312"/>
          <w:b/>
        </w:rPr>
      </w:pPr>
      <w:r>
        <w:rPr>
          <w:rFonts w:hint="eastAsia" w:ascii="楷体_GB2312" w:hAnsi="宋体" w:eastAsia="楷体_GB2312"/>
          <w:b/>
          <w:szCs w:val="32"/>
          <w:lang w:val="zh-CN"/>
        </w:rPr>
        <w:t>（一）</w:t>
      </w:r>
      <w:r>
        <w:rPr>
          <w:rFonts w:hint="eastAsia" w:ascii="楷体_GB2312" w:hAnsi="宋体" w:eastAsia="楷体_GB2312"/>
          <w:b/>
          <w:szCs w:val="32"/>
        </w:rPr>
        <w:t>通用指标</w:t>
      </w:r>
      <w:r>
        <w:rPr>
          <w:rFonts w:eastAsia="楷体_GB2312"/>
          <w:b/>
          <w:bCs/>
          <w:color w:val="000000"/>
          <w:kern w:val="0"/>
          <w:szCs w:val="32"/>
          <w:shd w:val="clear" w:color="auto" w:fill="FFFFFF"/>
          <w:lang w:val="zh-CN"/>
        </w:rPr>
        <w:t>绩效分析。</w:t>
      </w:r>
    </w:p>
    <w:p>
      <w:pPr>
        <w:spacing w:line="576" w:lineRule="exact"/>
        <w:ind w:firstLine="640" w:firstLineChars="200"/>
      </w:pPr>
      <w:r>
        <w:rPr>
          <w:rFonts w:hint="eastAsia" w:ascii="楷体_GB2312" w:hAnsi="楷体_GB2312" w:eastAsia="楷体_GB2312" w:cs="楷体_GB2312"/>
          <w:szCs w:val="32"/>
        </w:rPr>
        <w:t>1.项目决策。</w:t>
      </w:r>
      <w:r>
        <w:rPr>
          <w:rFonts w:hint="eastAsia"/>
          <w:szCs w:val="32"/>
        </w:rPr>
        <w:t>2012年，广元市城乡规划建设和住房保障局、广元市国土资源局、广元市投资控股（集团）有限公司签订《广元市城区凤凰山棚户区改造项目合同书》。2</w:t>
      </w:r>
      <w:r>
        <w:rPr>
          <w:color w:val="000000" w:themeColor="text1"/>
          <w:szCs w:val="32"/>
          <w14:textFill>
            <w14:solidFill>
              <w14:schemeClr w14:val="tx1"/>
            </w14:solidFill>
          </w14:textFill>
        </w:rPr>
        <w:t>013年，经六届市人民政府第40次常务会议审议同意“变更凤凰山棚户区改造项目业主。</w:t>
      </w:r>
      <w:r>
        <w:rPr>
          <w:rFonts w:ascii="仿宋_GB2312" w:hAnsi="仿宋_GB2312" w:cs="仿宋_GB2312"/>
          <w:szCs w:val="32"/>
        </w:rPr>
        <w:t>神州天立控股集团有限公司</w:t>
      </w:r>
      <w:r>
        <w:rPr>
          <w:rFonts w:hint="eastAsia" w:ascii="仿宋_GB2312" w:hAnsi="仿宋_GB2312" w:cs="仿宋_GB2312"/>
          <w:szCs w:val="32"/>
        </w:rPr>
        <w:t>中标成为投资人，</w:t>
      </w:r>
      <w:r>
        <w:rPr>
          <w:rFonts w:ascii="仿宋_GB2312" w:hAnsi="仿宋_GB2312" w:cs="仿宋_GB2312"/>
          <w:szCs w:val="32"/>
        </w:rPr>
        <w:t>广</w:t>
      </w:r>
      <w:r>
        <w:rPr>
          <w:rFonts w:hint="eastAsia" w:ascii="微软雅黑" w:hAnsi="微软雅黑" w:eastAsia="微软雅黑" w:cs="微软雅黑"/>
          <w:szCs w:val="32"/>
        </w:rPr>
        <w:t>曌</w:t>
      </w:r>
      <w:r>
        <w:rPr>
          <w:rFonts w:hint="eastAsia" w:ascii="仿宋_GB2312" w:hAnsi="仿宋_GB2312" w:cs="仿宋_GB2312"/>
          <w:szCs w:val="32"/>
        </w:rPr>
        <w:t>公司与天立集团签订《联合开发投资合作协议》。</w:t>
      </w:r>
    </w:p>
    <w:p>
      <w:pPr>
        <w:spacing w:line="578" w:lineRule="exact"/>
        <w:ind w:firstLine="640"/>
      </w:pPr>
      <w:r>
        <w:rPr>
          <w:rFonts w:hint="eastAsia" w:ascii="楷体_GB2312" w:hAnsi="楷体_GB2312" w:eastAsia="楷体_GB2312" w:cs="楷体_GB2312"/>
          <w:szCs w:val="32"/>
        </w:rPr>
        <w:t>2.项目管理。</w:t>
      </w:r>
      <w:r>
        <w:rPr>
          <w:rFonts w:hint="eastAsia"/>
        </w:rPr>
        <w:t>在具体进行项目实施过程中，公司严格执行财政部、建设部项目成本和管理相关法律法规、项目管理建章立制，严格按照资金使用相关制度，并接受各级监督检查。</w:t>
      </w:r>
    </w:p>
    <w:p>
      <w:pPr>
        <w:spacing w:line="578" w:lineRule="exact"/>
        <w:ind w:firstLine="640" w:firstLineChars="200"/>
      </w:pPr>
      <w:r>
        <w:rPr>
          <w:rFonts w:hint="eastAsia" w:ascii="楷体_GB2312" w:hAnsi="楷体_GB2312" w:eastAsia="楷体_GB2312" w:cs="楷体_GB2312"/>
          <w:szCs w:val="32"/>
        </w:rPr>
        <w:t>3.项目实施。</w:t>
      </w:r>
      <w:r>
        <w:rPr>
          <w:rFonts w:hint="eastAsia"/>
          <w:szCs w:val="32"/>
        </w:rPr>
        <w:t>按照厉行节约的要求，结合项目2023年实际需求、评估认为，该项目任务数量基本合理、预算测算过程较为详细、测算依据基本充分、有一定的经济性，预算资金使用合理。</w:t>
      </w:r>
    </w:p>
    <w:p>
      <w:pPr>
        <w:spacing w:line="578" w:lineRule="exact"/>
        <w:ind w:firstLine="640" w:firstLineChars="200"/>
      </w:pPr>
      <w:r>
        <w:rPr>
          <w:rFonts w:hint="eastAsia" w:ascii="楷体_GB2312" w:hAnsi="楷体_GB2312" w:eastAsia="楷体_GB2312" w:cs="楷体_GB2312"/>
          <w:szCs w:val="32"/>
        </w:rPr>
        <w:t>4.项目结果。</w:t>
      </w:r>
      <w:r>
        <w:rPr>
          <w:rFonts w:hint="eastAsia"/>
        </w:rPr>
        <w:t>项目严格按照计划及时间节点全面完成。其中较好的完成数量、质量、时效、成本的控制，项目资金与预算相符，无违法违规记录等情况，截止评价时点项目已全部完成了任务量，经相关部门检测项目质量全部达标。</w:t>
      </w:r>
    </w:p>
    <w:p>
      <w:pPr>
        <w:spacing w:line="578" w:lineRule="exact"/>
        <w:ind w:firstLine="642" w:firstLineChars="200"/>
        <w:rPr>
          <w:rFonts w:ascii="楷体_GB2312" w:hAnsi="楷体_GB2312" w:eastAsia="楷体_GB2312" w:cs="楷体_GB2312"/>
          <w:lang w:val="zh-CN"/>
        </w:rPr>
      </w:pPr>
      <w:r>
        <w:rPr>
          <w:rFonts w:hint="eastAsia" w:ascii="楷体_GB2312" w:hAnsi="宋体" w:eastAsia="楷体_GB2312"/>
          <w:b/>
          <w:szCs w:val="32"/>
          <w:lang w:val="zh-CN"/>
        </w:rPr>
        <w:t>（二）</w:t>
      </w:r>
      <w:r>
        <w:rPr>
          <w:rFonts w:hint="eastAsia" w:ascii="楷体_GB2312" w:hAnsi="宋体" w:eastAsia="楷体_GB2312"/>
          <w:b/>
          <w:szCs w:val="32"/>
        </w:rPr>
        <w:t>专用指标</w:t>
      </w:r>
      <w:r>
        <w:rPr>
          <w:rFonts w:eastAsia="楷体_GB2312"/>
          <w:b/>
          <w:bCs/>
          <w:color w:val="000000"/>
          <w:kern w:val="0"/>
          <w:szCs w:val="32"/>
          <w:shd w:val="clear" w:color="auto" w:fill="FFFFFF"/>
          <w:lang w:val="zh-CN"/>
        </w:rPr>
        <w:t>绩效分析。</w:t>
      </w:r>
      <w:r>
        <w:rPr>
          <w:rFonts w:hint="eastAsia"/>
          <w:szCs w:val="32"/>
          <w:lang w:val="zh-CN"/>
        </w:rPr>
        <w:t>根据</w:t>
      </w:r>
      <w:r>
        <w:rPr>
          <w:rFonts w:hint="eastAsia"/>
          <w:szCs w:val="32"/>
        </w:rPr>
        <w:t>专项预算项目资金支持对象选择所属指标进行绩效分析。支持对象</w:t>
      </w:r>
      <w:r>
        <w:rPr>
          <w:rFonts w:hint="eastAsia"/>
          <w:szCs w:val="32"/>
          <w:lang w:val="zh-CN"/>
        </w:rPr>
        <w:t>包括产业发展、民生保障、基础设施、行政运转等方面。</w:t>
      </w:r>
    </w:p>
    <w:p>
      <w:pPr>
        <w:spacing w:line="578" w:lineRule="exact"/>
        <w:ind w:firstLine="640" w:firstLineChars="200"/>
        <w:rPr>
          <w:rFonts w:ascii="楷体_GB2312" w:hAnsi="楷体_GB2312" w:eastAsia="楷体_GB2312" w:cs="楷体_GB2312"/>
        </w:rPr>
      </w:pPr>
      <w:r>
        <w:rPr>
          <w:rFonts w:hint="eastAsia" w:ascii="楷体_GB2312" w:hAnsi="楷体_GB2312" w:eastAsia="楷体_GB2312" w:cs="楷体_GB2312"/>
          <w:szCs w:val="32"/>
          <w:lang w:val="zh-CN"/>
        </w:rPr>
        <w:t>民生保障。</w:t>
      </w:r>
      <w:r>
        <w:rPr>
          <w:rFonts w:hint="eastAsia"/>
          <w:szCs w:val="32"/>
          <w:lang w:val="zh-CN"/>
        </w:rPr>
        <w:t>项目实施征收房屋约30万</w:t>
      </w:r>
      <w:r>
        <w:rPr>
          <w:rFonts w:hint="eastAsia" w:ascii="Segoe UI Emoji" w:hAnsi="Segoe UI Emoji" w:eastAsia="Segoe UI Emoji" w:cs="Segoe UI Emoji"/>
          <w:szCs w:val="32"/>
          <w:lang w:val="zh-CN"/>
        </w:rPr>
        <w:t>㎡</w:t>
      </w:r>
      <w:r>
        <w:rPr>
          <w:rFonts w:hint="eastAsia" w:ascii="仿宋_GB2312" w:hAnsi="仿宋_GB2312" w:cs="仿宋_GB2312"/>
          <w:szCs w:val="32"/>
          <w:lang w:val="zh-CN"/>
        </w:rPr>
        <w:t>，修建安置还建房约</w:t>
      </w:r>
      <w:r>
        <w:rPr>
          <w:rFonts w:hint="eastAsia"/>
          <w:szCs w:val="32"/>
          <w:lang w:val="zh-CN"/>
        </w:rPr>
        <w:t>37万</w:t>
      </w:r>
      <w:r>
        <w:rPr>
          <w:rFonts w:hint="eastAsia" w:ascii="Segoe UI Emoji" w:hAnsi="Segoe UI Emoji" w:eastAsia="Segoe UI Emoji" w:cs="Segoe UI Emoji"/>
          <w:szCs w:val="32"/>
          <w:lang w:val="zh-CN"/>
        </w:rPr>
        <w:t>㎡</w:t>
      </w:r>
      <w:r>
        <w:rPr>
          <w:rFonts w:hint="eastAsia" w:ascii="仿宋_GB2312" w:hAnsi="仿宋_GB2312" w:cs="仿宋_GB2312"/>
          <w:szCs w:val="32"/>
          <w:lang w:val="zh-CN"/>
        </w:rPr>
        <w:t>，开发建设房屋面积约</w:t>
      </w:r>
      <w:r>
        <w:rPr>
          <w:rFonts w:hint="eastAsia"/>
          <w:szCs w:val="32"/>
          <w:lang w:val="zh-CN"/>
        </w:rPr>
        <w:t>73万</w:t>
      </w:r>
      <w:r>
        <w:rPr>
          <w:rFonts w:hint="eastAsia" w:ascii="Segoe UI Emoji" w:hAnsi="Segoe UI Emoji" w:eastAsia="Segoe UI Emoji" w:cs="Segoe UI Emoji"/>
          <w:szCs w:val="32"/>
          <w:lang w:val="zh-CN"/>
        </w:rPr>
        <w:t>㎡</w:t>
      </w:r>
      <w:r>
        <w:rPr>
          <w:rFonts w:hint="eastAsia" w:ascii="仿宋_GB2312" w:hAnsi="仿宋_GB2312" w:cs="仿宋_GB2312"/>
          <w:szCs w:val="32"/>
          <w:lang w:val="zh-CN"/>
        </w:rPr>
        <w:t>。</w:t>
      </w:r>
      <w:r>
        <w:rPr>
          <w:rFonts w:hint="eastAsia" w:ascii="仿宋_GB2312" w:hAnsi="仿宋_GB2312" w:cs="仿宋_GB2312"/>
          <w:kern w:val="0"/>
          <w:shd w:val="clear" w:color="auto" w:fill="FFFFFF"/>
        </w:rPr>
        <w:t>征拆安置对拓展城市空间，推进广元市政基础设施建设进程，提高为社会公众服务质量，改善城乡居民的人居环境、促进社会经济增长和解决城市就业问题有着重要的意义。</w:t>
      </w:r>
    </w:p>
    <w:p>
      <w:pPr>
        <w:numPr>
          <w:ilvl w:val="0"/>
          <w:numId w:val="6"/>
        </w:numPr>
        <w:spacing w:line="578" w:lineRule="exact"/>
        <w:ind w:firstLine="640"/>
        <w:rPr>
          <w:rFonts w:eastAsia="楷体_GB2312"/>
          <w:b/>
          <w:bCs/>
          <w:color w:val="000000"/>
          <w:kern w:val="0"/>
          <w:shd w:val="clear" w:color="auto" w:fill="FFFFFF"/>
          <w:lang w:val="zh-CN"/>
        </w:rPr>
      </w:pPr>
      <w:r>
        <w:rPr>
          <w:rFonts w:hint="eastAsia" w:ascii="楷体_GB2312" w:hAnsi="宋体" w:eastAsia="楷体_GB2312"/>
          <w:b/>
          <w:szCs w:val="32"/>
        </w:rPr>
        <w:t>个性指标</w:t>
      </w:r>
      <w:r>
        <w:rPr>
          <w:rFonts w:eastAsia="楷体_GB2312"/>
          <w:b/>
          <w:bCs/>
          <w:color w:val="000000"/>
          <w:kern w:val="0"/>
          <w:szCs w:val="32"/>
          <w:shd w:val="clear" w:color="auto" w:fill="FFFFFF"/>
          <w:lang w:val="zh-CN"/>
        </w:rPr>
        <w:t>绩效分析。</w:t>
      </w:r>
    </w:p>
    <w:p>
      <w:pPr>
        <w:spacing w:line="578" w:lineRule="exact"/>
        <w:ind w:firstLine="640" w:firstLineChars="200"/>
        <w:rPr>
          <w:rFonts w:ascii="仿宋_GB2312" w:hAnsi="仿宋_GB2312" w:cs="仿宋_GB2312"/>
          <w:kern w:val="0"/>
          <w:shd w:val="clear" w:color="auto" w:fill="FFFFFF"/>
        </w:rPr>
      </w:pPr>
      <w:r>
        <w:rPr>
          <w:rFonts w:hint="eastAsia" w:ascii="楷体_GB2312" w:hAnsi="楷体_GB2312" w:eastAsia="楷体_GB2312" w:cs="楷体_GB2312"/>
          <w:szCs w:val="32"/>
          <w:lang w:val="zh-CN"/>
        </w:rPr>
        <w:t>民生保障。</w:t>
      </w:r>
      <w:r>
        <w:rPr>
          <w:rFonts w:hint="eastAsia"/>
          <w:szCs w:val="32"/>
          <w:lang w:val="zh-CN"/>
        </w:rPr>
        <w:t>项目实施征收房屋约30万</w:t>
      </w:r>
      <w:r>
        <w:rPr>
          <w:rFonts w:hint="eastAsia" w:ascii="Segoe UI Emoji" w:hAnsi="Segoe UI Emoji" w:eastAsia="Segoe UI Emoji" w:cs="Segoe UI Emoji"/>
          <w:szCs w:val="32"/>
          <w:lang w:val="zh-CN"/>
        </w:rPr>
        <w:t>㎡</w:t>
      </w:r>
      <w:r>
        <w:rPr>
          <w:rFonts w:hint="eastAsia" w:ascii="仿宋_GB2312" w:hAnsi="仿宋_GB2312" w:cs="仿宋_GB2312"/>
          <w:szCs w:val="32"/>
          <w:lang w:val="zh-CN"/>
        </w:rPr>
        <w:t>，修建安置还建房约</w:t>
      </w:r>
      <w:r>
        <w:rPr>
          <w:rFonts w:hint="eastAsia"/>
          <w:szCs w:val="32"/>
          <w:lang w:val="zh-CN"/>
        </w:rPr>
        <w:t>37万</w:t>
      </w:r>
      <w:r>
        <w:rPr>
          <w:rFonts w:hint="eastAsia" w:ascii="Segoe UI Emoji" w:hAnsi="Segoe UI Emoji" w:eastAsia="Segoe UI Emoji" w:cs="Segoe UI Emoji"/>
          <w:szCs w:val="32"/>
          <w:lang w:val="zh-CN"/>
        </w:rPr>
        <w:t>㎡</w:t>
      </w:r>
      <w:r>
        <w:rPr>
          <w:rFonts w:hint="eastAsia" w:ascii="仿宋_GB2312" w:hAnsi="仿宋_GB2312" w:cs="仿宋_GB2312"/>
          <w:szCs w:val="32"/>
          <w:lang w:val="zh-CN"/>
        </w:rPr>
        <w:t>，开发建设房屋面积约</w:t>
      </w:r>
      <w:r>
        <w:rPr>
          <w:rFonts w:hint="eastAsia"/>
          <w:szCs w:val="32"/>
          <w:lang w:val="zh-CN"/>
        </w:rPr>
        <w:t>73万</w:t>
      </w:r>
      <w:r>
        <w:rPr>
          <w:rFonts w:hint="eastAsia" w:ascii="Segoe UI Emoji" w:hAnsi="Segoe UI Emoji" w:eastAsia="Segoe UI Emoji" w:cs="Segoe UI Emoji"/>
          <w:szCs w:val="32"/>
          <w:lang w:val="zh-CN"/>
        </w:rPr>
        <w:t>㎡</w:t>
      </w:r>
      <w:r>
        <w:rPr>
          <w:rFonts w:hint="eastAsia" w:ascii="仿宋_GB2312" w:hAnsi="仿宋_GB2312" w:cs="仿宋_GB2312"/>
          <w:szCs w:val="32"/>
          <w:lang w:val="zh-CN"/>
        </w:rPr>
        <w:t>。</w:t>
      </w:r>
      <w:r>
        <w:rPr>
          <w:rFonts w:hint="eastAsia" w:ascii="仿宋_GB2312" w:hAnsi="仿宋_GB2312" w:cs="仿宋_GB2312"/>
          <w:kern w:val="0"/>
          <w:shd w:val="clear" w:color="auto" w:fill="FFFFFF"/>
        </w:rPr>
        <w:t>征拆安置对拓展城市空间，推进广元市政基础设施建设进程，提高为社会公众服务质量，改善城乡居民的人居环境、促进社会经济增长和解决城市就业问题有着重要的意义。</w:t>
      </w:r>
    </w:p>
    <w:p>
      <w:pPr>
        <w:spacing w:line="578" w:lineRule="exact"/>
        <w:ind w:firstLine="640" w:firstLineChars="200"/>
      </w:pPr>
      <w:r>
        <w:rPr>
          <w:rFonts w:hint="eastAsia" w:ascii="黑体" w:hAnsi="宋体" w:eastAsia="黑体"/>
          <w:szCs w:val="32"/>
        </w:rPr>
        <w:t>四、评价结论</w:t>
      </w:r>
    </w:p>
    <w:p>
      <w:pPr>
        <w:spacing w:line="500" w:lineRule="exact"/>
        <w:ind w:firstLine="640"/>
        <w:rPr>
          <w:rFonts w:ascii="仿宋" w:hAnsi="仿宋" w:eastAsia="仿宋" w:cs="仿宋"/>
          <w:szCs w:val="32"/>
        </w:rPr>
      </w:pPr>
      <w:r>
        <w:rPr>
          <w:rFonts w:hint="eastAsia" w:ascii="仿宋" w:hAnsi="仿宋" w:eastAsia="仿宋" w:cs="仿宋"/>
          <w:szCs w:val="32"/>
        </w:rPr>
        <w:t>凤凰山棚户区项目借款资金尾款总体自评得分98分。项目的实施，</w:t>
      </w:r>
      <w:r>
        <w:rPr>
          <w:rFonts w:hint="eastAsia" w:ascii="仿宋_GB2312" w:hAnsi="仿宋_GB2312" w:cs="仿宋_GB2312"/>
          <w:kern w:val="0"/>
          <w:shd w:val="clear" w:color="auto" w:fill="FFFFFF"/>
        </w:rPr>
        <w:t>改善了城乡居民的人居环境、促进社会经济增长和解决城市就业问题及城市生态环境的建设有着重要的意义；征拆安置对拓展城市空间，推进广元市政基础设施建设进程，提高为社会公众服务质量，改善城乡居民的人居环境、促进社会经济增长和解决城市就业问题有着重要的意义。</w:t>
      </w:r>
      <w:r>
        <w:rPr>
          <w:rFonts w:hint="eastAsia" w:ascii="仿宋" w:hAnsi="仿宋" w:eastAsia="仿宋" w:cs="仿宋"/>
          <w:szCs w:val="32"/>
        </w:rPr>
        <w:t>同时，缓解了广曌公司偿债压力，避免出现隐债化解违约风险，具有非常重要的意义。</w:t>
      </w:r>
    </w:p>
    <w:p>
      <w:pPr>
        <w:spacing w:line="500" w:lineRule="exact"/>
        <w:ind w:firstLine="640"/>
        <w:rPr>
          <w:rFonts w:ascii="黑体" w:hAnsi="黑体" w:eastAsia="黑体"/>
          <w:szCs w:val="32"/>
        </w:rPr>
      </w:pPr>
      <w:r>
        <w:rPr>
          <w:rFonts w:hint="eastAsia" w:ascii="黑体" w:hAnsi="黑体" w:eastAsia="黑体"/>
          <w:szCs w:val="32"/>
        </w:rPr>
        <w:t>五、存在主要问题</w:t>
      </w:r>
    </w:p>
    <w:p>
      <w:pPr>
        <w:spacing w:line="500" w:lineRule="exact"/>
        <w:ind w:firstLine="640"/>
        <w:rPr>
          <w:rFonts w:ascii="仿宋_GB2312" w:hAnsi="仿宋_GB2312" w:cs="仿宋_GB2312"/>
          <w:kern w:val="0"/>
          <w:szCs w:val="32"/>
        </w:rPr>
      </w:pPr>
      <w:r>
        <w:rPr>
          <w:rFonts w:hint="eastAsia" w:ascii="仿宋_GB2312" w:hAnsi="仿宋_GB2312" w:cs="仿宋_GB2312"/>
          <w:kern w:val="0"/>
          <w:szCs w:val="32"/>
        </w:rPr>
        <w:t>无。</w:t>
      </w:r>
    </w:p>
    <w:p>
      <w:pPr>
        <w:spacing w:line="500" w:lineRule="exact"/>
        <w:ind w:firstLine="640"/>
        <w:rPr>
          <w:rFonts w:ascii="黑体" w:hAnsi="黑体" w:cs="黑体"/>
        </w:rPr>
      </w:pPr>
      <w:r>
        <w:rPr>
          <w:rFonts w:hint="eastAsia" w:ascii="黑体" w:hAnsi="宋体" w:eastAsia="黑体"/>
          <w:kern w:val="0"/>
          <w:position w:val="3"/>
          <w:szCs w:val="32"/>
          <w:lang w:val="zh-CN"/>
        </w:rPr>
        <w:t>六、改进建议</w:t>
      </w:r>
    </w:p>
    <w:p>
      <w:pPr>
        <w:tabs>
          <w:tab w:val="left" w:pos="1911"/>
        </w:tabs>
        <w:jc w:val="left"/>
        <w:rPr>
          <w:rFonts w:ascii="仿宋_GB2312" w:hAnsi="仿宋_GB2312" w:cs="仿宋_GB2312"/>
          <w:kern w:val="0"/>
          <w:lang w:val="en"/>
        </w:rPr>
      </w:pPr>
      <w:r>
        <w:rPr>
          <w:rFonts w:hint="eastAsia" w:ascii="仿宋_GB2312" w:hAnsi="仿宋_GB2312" w:cs="仿宋_GB2312"/>
          <w:kern w:val="0"/>
          <w:szCs w:val="32"/>
          <w:shd w:val="clear" w:color="auto" w:fill="FFFFFF"/>
          <w:lang w:val="zh-CN"/>
        </w:rPr>
        <w:t xml:space="preserve"> </w:t>
      </w:r>
      <w:r>
        <w:rPr>
          <w:rFonts w:hint="eastAsia" w:ascii="仿宋_GB2312" w:hAnsi="仿宋_GB2312" w:cs="仿宋_GB2312"/>
          <w:kern w:val="0"/>
          <w:szCs w:val="32"/>
        </w:rPr>
        <w:t xml:space="preserve">   无</w:t>
      </w: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snapToGrid w:val="0"/>
        <w:spacing w:line="576" w:lineRule="exact"/>
        <w:jc w:val="center"/>
        <w:rPr>
          <w:rFonts w:ascii="方正小标宋简体" w:hAnsi="方正小标宋_GBK" w:eastAsia="方正小标宋简体" w:cs="方正小标宋_GBK"/>
          <w:color w:val="000000" w:themeColor="text1"/>
          <w:sz w:val="44"/>
          <w:szCs w:val="44"/>
          <w:lang w:bidi="ar"/>
          <w14:textFill>
            <w14:solidFill>
              <w14:schemeClr w14:val="tx1"/>
            </w14:solidFill>
          </w14:textFill>
        </w:rPr>
      </w:pPr>
      <w:r>
        <w:rPr>
          <w:rFonts w:hint="eastAsia" w:ascii="方正小标宋简体" w:hAnsi="方正小标宋_GBK" w:eastAsia="方正小标宋简体" w:cs="方正小标宋_GBK"/>
          <w:color w:val="000000" w:themeColor="text1"/>
          <w:sz w:val="44"/>
          <w:szCs w:val="44"/>
          <w:lang w:bidi="ar"/>
          <w14:textFill>
            <w14:solidFill>
              <w14:schemeClr w14:val="tx1"/>
            </w14:solidFill>
          </w14:textFill>
        </w:rPr>
        <w:t>黑石坡片区棚户区（城中村）改造项目</w:t>
      </w:r>
    </w:p>
    <w:p>
      <w:pPr>
        <w:pStyle w:val="15"/>
        <w:widowControl/>
        <w:spacing w:beforeAutospacing="0" w:afterAutospacing="0" w:line="576" w:lineRule="exact"/>
        <w:jc w:val="center"/>
        <w:rPr>
          <w:rFonts w:ascii="方正小标宋简体" w:hAnsi="宋体" w:eastAsia="方正小标宋简体"/>
          <w:kern w:val="2"/>
          <w:sz w:val="32"/>
        </w:rPr>
      </w:pPr>
      <w:r>
        <w:rPr>
          <w:rFonts w:hint="eastAsia" w:ascii="方正小标宋简体" w:hAnsi="方正小标宋_GBK" w:eastAsia="方正小标宋简体" w:cs="方正小标宋_GBK"/>
          <w:color w:val="000000" w:themeColor="text1"/>
          <w:kern w:val="2"/>
          <w:sz w:val="44"/>
          <w:szCs w:val="44"/>
          <w:lang w:bidi="ar"/>
          <w14:textFill>
            <w14:solidFill>
              <w14:schemeClr w14:val="tx1"/>
            </w14:solidFill>
          </w14:textFill>
        </w:rPr>
        <w:t>项目绩效自评报告</w:t>
      </w:r>
    </w:p>
    <w:p>
      <w:pPr>
        <w:adjustRightInd w:val="0"/>
        <w:snapToGrid w:val="0"/>
        <w:spacing w:line="576" w:lineRule="exact"/>
        <w:ind w:firstLine="640" w:firstLineChars="200"/>
        <w:rPr>
          <w:rFonts w:ascii="黑体" w:hAnsi="宋体" w:eastAsia="黑体"/>
          <w:color w:val="000000" w:themeColor="text1"/>
          <w:lang w:val="zh-CN"/>
          <w14:textFill>
            <w14:solidFill>
              <w14:schemeClr w14:val="tx1"/>
            </w14:solidFill>
          </w14:textFill>
        </w:rPr>
      </w:pPr>
      <w:r>
        <w:rPr>
          <w:rFonts w:hint="eastAsia" w:ascii="黑体" w:hAnsi="宋体" w:eastAsia="黑体"/>
          <w:color w:val="000000" w:themeColor="text1"/>
          <w14:textFill>
            <w14:solidFill>
              <w14:schemeClr w14:val="tx1"/>
            </w14:solidFill>
          </w14:textFill>
        </w:rPr>
        <w:t>一、</w:t>
      </w:r>
      <w:r>
        <w:rPr>
          <w:rFonts w:hint="eastAsia" w:ascii="黑体" w:hAnsi="宋体" w:eastAsia="黑体"/>
          <w:color w:val="000000" w:themeColor="text1"/>
          <w:lang w:val="zh-CN"/>
          <w14:textFill>
            <w14:solidFill>
              <w14:schemeClr w14:val="tx1"/>
            </w14:solidFill>
          </w14:textFill>
        </w:rPr>
        <w:t>项目概况</w:t>
      </w:r>
    </w:p>
    <w:p>
      <w:pPr>
        <w:widowControl/>
        <w:adjustRightInd w:val="0"/>
        <w:snapToGrid w:val="0"/>
        <w:spacing w:line="576" w:lineRule="exact"/>
        <w:ind w:firstLine="640" w:firstLineChars="200"/>
        <w:contextualSpacing/>
        <w:jc w:val="left"/>
        <w:rPr>
          <w:rFonts w:ascii="楷体_GB2312" w:hAnsi="宋体" w:eastAsia="楷体_GB2312"/>
          <w:bCs/>
        </w:rPr>
      </w:pPr>
      <w:r>
        <w:rPr>
          <w:rFonts w:hint="eastAsia" w:ascii="楷体_GB2312" w:hAnsi="宋体" w:eastAsia="楷体_GB2312"/>
          <w:bCs/>
          <w:szCs w:val="32"/>
        </w:rPr>
        <w:t>（一）</w:t>
      </w:r>
      <w:r>
        <w:rPr>
          <w:rFonts w:hint="eastAsia" w:ascii="楷体_GB2312" w:hAnsi="宋体" w:eastAsia="楷体_GB2312"/>
          <w:bCs/>
          <w:szCs w:val="32"/>
          <w:lang w:val="zh-CN"/>
        </w:rPr>
        <w:t>项目基本情况</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本项目东接国道212九华岩路段，西接东坝水柜路，南接利州东路，北接黑石坡森林公园。主要涉及东坝办事处（雁栖社区、金柜社区、柜北社区），雪峰办事处（雪峰村、泡石村），大石镇（五四村）。共搬迁安置1614户。经省住房和城乡建设部门认定，以上拆迁范围已纳入国家年度棚改目标任务。</w:t>
      </w:r>
    </w:p>
    <w:p>
      <w:pPr>
        <w:snapToGrid w:val="0"/>
        <w:spacing w:line="576" w:lineRule="exact"/>
        <w:ind w:firstLine="640" w:firstLineChars="200"/>
        <w:rPr>
          <w:rFonts w:ascii="楷体_GB2312" w:hAnsi="宋体" w:eastAsia="楷体_GB2312"/>
          <w:color w:val="000000" w:themeColor="text1"/>
          <w:lang w:val="zh-CN"/>
          <w14:textFill>
            <w14:solidFill>
              <w14:schemeClr w14:val="tx1"/>
            </w14:solidFill>
          </w14:textFill>
        </w:rPr>
      </w:pPr>
      <w:r>
        <w:rPr>
          <w:rFonts w:hint="eastAsia" w:ascii="楷体_GB2312" w:hAnsi="宋体" w:eastAsia="楷体_GB2312"/>
          <w:color w:val="000000" w:themeColor="text1"/>
          <w:szCs w:val="32"/>
          <w14:textFill>
            <w14:solidFill>
              <w14:schemeClr w14:val="tx1"/>
            </w14:solidFill>
          </w14:textFill>
        </w:rPr>
        <w:t>（二）</w:t>
      </w:r>
      <w:r>
        <w:rPr>
          <w:rFonts w:ascii="楷体_GB2312" w:hAnsi="宋体" w:eastAsia="楷体_GB2312"/>
          <w:color w:val="000000" w:themeColor="text1"/>
          <w:szCs w:val="32"/>
          <w14:textFill>
            <w14:solidFill>
              <w14:schemeClr w14:val="tx1"/>
            </w14:solidFill>
          </w14:textFill>
        </w:rPr>
        <w:t>实施目的及支持方向</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1.项目主要内容</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拆除旧房面积约199,390.53平方米；其中非住宅面积4661平方米；搬迁安置的居民共1614户，4842人。采取单一货币补偿安置方式。</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2.项目实施目的</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一是可促进城市建设、提升广元市整体形象；二是促进消费和投资的需要；三是可以缓解住房供需矛盾，促进社会稳定；四是可以提高棚户区居民的生活质量；五是构建和谐社会的需要；六是加快化解房地产库存，</w:t>
      </w:r>
      <w:r>
        <w:rPr>
          <w:rFonts w:ascii="Cambria" w:hAnsi="Cambria" w:cs="Cambria"/>
          <w:szCs w:val="32"/>
        </w:rPr>
        <w:t> </w:t>
      </w:r>
      <w:r>
        <w:rPr>
          <w:rFonts w:hint="eastAsia" w:ascii="仿宋_GB2312" w:hAnsi="方正仿宋_GB2312" w:cs="方正仿宋_GB2312"/>
          <w:szCs w:val="32"/>
        </w:rPr>
        <w:t>促进房地产业持续发展的需要。</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3.支持方向</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2010年以来，广元市按照中央“棚改提速”、省政府“加快进度、加大力度、加大规模”的要求。成立了以市委领导为组长的广元市危旧房棚户区改造暨促进房地产市场平稳发展领导小组，各区县也成立相应的领导小组。区县政府根据本地棚户区项目特性，相继出台《广元市中心城区城市棚户区改造土地及房屋征收补偿安置暂行办法》《广元市危旧房棚户区改造货币化安置实施办法》等政策。</w:t>
      </w:r>
    </w:p>
    <w:p>
      <w:pPr>
        <w:widowControl/>
        <w:adjustRightInd w:val="0"/>
        <w:snapToGrid w:val="0"/>
        <w:spacing w:line="576" w:lineRule="exact"/>
        <w:ind w:firstLine="640" w:firstLineChars="200"/>
        <w:contextualSpacing/>
        <w:jc w:val="left"/>
        <w:rPr>
          <w:rFonts w:ascii="楷体_GB2312" w:hAnsi="仿宋_GB2312" w:eastAsia="楷体_GB2312" w:cs="仿宋_GB2312"/>
          <w:kern w:val="0"/>
          <w:shd w:val="clear" w:color="auto" w:fill="FFFFFF"/>
          <w:lang w:val="zh-CN"/>
        </w:rPr>
      </w:pPr>
      <w:r>
        <w:rPr>
          <w:rFonts w:hint="eastAsia" w:ascii="楷体_GB2312" w:hAnsi="仿宋_GB2312" w:eastAsia="楷体_GB2312" w:cs="仿宋_GB2312"/>
          <w:kern w:val="0"/>
          <w:szCs w:val="32"/>
          <w:shd w:val="clear" w:color="auto" w:fill="FFFFFF"/>
          <w:lang w:val="zh-CN"/>
        </w:rPr>
        <w:t>（三）</w:t>
      </w:r>
      <w:r>
        <w:rPr>
          <w:rFonts w:hint="eastAsia" w:ascii="楷体_GB2312" w:hAnsi="宋体" w:eastAsia="楷体_GB2312"/>
          <w:szCs w:val="32"/>
        </w:rPr>
        <w:t>预算安排及分配管理</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本项目预算金额为12000万元，本次申请急需拨付资金金额为12000万元，项目资金的分配始终坚持一个原则：确保征拆资金专款专用。</w:t>
      </w:r>
    </w:p>
    <w:p>
      <w:pPr>
        <w:widowControl/>
        <w:adjustRightInd w:val="0"/>
        <w:snapToGrid w:val="0"/>
        <w:spacing w:line="576" w:lineRule="exact"/>
        <w:ind w:firstLine="640" w:firstLineChars="200"/>
        <w:contextualSpacing/>
        <w:jc w:val="left"/>
        <w:rPr>
          <w:rFonts w:ascii="楷体_GB2312" w:hAnsi="仿宋_GB2312" w:eastAsia="楷体_GB2312" w:cs="仿宋_GB2312"/>
          <w:kern w:val="0"/>
          <w:szCs w:val="32"/>
          <w:shd w:val="clear" w:color="auto" w:fill="FFFFFF"/>
          <w:lang w:val="zh-CN"/>
        </w:rPr>
      </w:pPr>
      <w:r>
        <w:rPr>
          <w:rFonts w:hint="eastAsia" w:ascii="楷体_GB2312" w:hAnsi="仿宋_GB2312" w:eastAsia="楷体_GB2312" w:cs="仿宋_GB2312"/>
          <w:kern w:val="0"/>
          <w:szCs w:val="32"/>
          <w:shd w:val="clear" w:color="auto" w:fill="FFFFFF"/>
          <w:lang w:val="zh-CN"/>
        </w:rPr>
        <w:t>（四）项目绩效目标设置</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1.绩效目标设置情况。项目绩效目标设置量化可考核，与部门的长期规划目标、年度工作目标相一致，绩效指标可细化、量化，绩效目标和绩效指标契合政策和项目实质，产出和效果相关联，对满意度指标进行了量化预测，绩效目标具有一定前瞻性和挑战性，绩效目标和绩效指标匹配，绩效指标设计全面完整。</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2.项目自评工作开展情况。单位根据项目合同书或验收要求，建立自评指标和标准；然后对照指标和标准，组织相关人员对项目实施的过程及提交的成果，按照各个指标和标准进行了自评。</w:t>
      </w:r>
    </w:p>
    <w:p>
      <w:pPr>
        <w:adjustRightInd w:val="0"/>
        <w:snapToGrid w:val="0"/>
        <w:spacing w:line="576" w:lineRule="exact"/>
        <w:ind w:firstLine="640" w:firstLineChars="200"/>
        <w:rPr>
          <w:rFonts w:ascii="黑体" w:hAnsi="宋体" w:eastAsia="黑体"/>
        </w:rPr>
      </w:pPr>
      <w:r>
        <w:rPr>
          <w:rFonts w:hint="eastAsia" w:ascii="黑体" w:hAnsi="宋体" w:eastAsia="黑体"/>
        </w:rPr>
        <w:t>二、评价实施</w:t>
      </w:r>
    </w:p>
    <w:p>
      <w:pPr>
        <w:spacing w:line="576" w:lineRule="exact"/>
        <w:ind w:firstLine="640"/>
        <w:rPr>
          <w:rFonts w:ascii="楷体_GB2312" w:hAnsi="宋体" w:eastAsia="楷体_GB2312"/>
          <w:bCs/>
          <w:lang w:val="zh-CN"/>
        </w:rPr>
      </w:pPr>
      <w:r>
        <w:rPr>
          <w:rFonts w:hint="eastAsia" w:ascii="楷体_GB2312" w:hAnsi="宋体" w:eastAsia="楷体_GB2312"/>
          <w:bCs/>
          <w:szCs w:val="32"/>
          <w:lang w:val="zh-CN"/>
        </w:rPr>
        <w:t>（一）评价目的</w:t>
      </w:r>
    </w:p>
    <w:p>
      <w:pPr>
        <w:adjustRightInd w:val="0"/>
        <w:snapToGrid w:val="0"/>
        <w:spacing w:line="576" w:lineRule="exact"/>
        <w:ind w:firstLine="640" w:firstLineChars="200"/>
        <w:rPr>
          <w:rFonts w:ascii="仿宋_GB2312" w:hAnsi="方正仿宋_GB2312" w:cs="方正仿宋_GB2312"/>
          <w:bCs/>
        </w:rPr>
      </w:pPr>
      <w:r>
        <w:rPr>
          <w:rFonts w:hint="eastAsia" w:ascii="仿宋_GB2312" w:hAnsi="方正仿宋_GB2312" w:cs="方正仿宋_GB2312"/>
          <w:bCs/>
          <w:szCs w:val="32"/>
        </w:rPr>
        <w:t>通过项目绩效自评来核查此项目是否达到预期目标，从而完善内部管理流程，强化预算支出的责任和效率。</w:t>
      </w:r>
    </w:p>
    <w:p>
      <w:pPr>
        <w:spacing w:line="576" w:lineRule="exact"/>
        <w:ind w:firstLine="640"/>
        <w:rPr>
          <w:bCs/>
        </w:rPr>
      </w:pPr>
      <w:r>
        <w:rPr>
          <w:rFonts w:hint="eastAsia" w:ascii="楷体_GB2312" w:hAnsi="宋体" w:eastAsia="楷体_GB2312"/>
          <w:bCs/>
          <w:szCs w:val="32"/>
          <w:lang w:val="zh-CN"/>
        </w:rPr>
        <w:t>（二）预设问题及评价重点。</w:t>
      </w:r>
      <w:r>
        <w:rPr>
          <w:rFonts w:hint="eastAsia" w:ascii="仿宋_GB2312" w:hAnsi="方正仿宋_GB2312" w:cs="方正仿宋_GB2312"/>
          <w:bCs/>
          <w:szCs w:val="32"/>
        </w:rPr>
        <w:t>根据项目实际情况，将指标评价体系中的项目管理作为评价重点；将资金使用拨付、项目实施是否符合规定作为预设问题。</w:t>
      </w:r>
    </w:p>
    <w:p>
      <w:pPr>
        <w:adjustRightInd w:val="0"/>
        <w:snapToGrid w:val="0"/>
        <w:spacing w:line="576" w:lineRule="exact"/>
        <w:ind w:firstLine="640" w:firstLineChars="200"/>
        <w:rPr>
          <w:rFonts w:ascii="仿宋_GB2312" w:hAnsi="方正仿宋_GB2312" w:cs="方正仿宋_GB2312"/>
          <w:bCs/>
        </w:rPr>
      </w:pPr>
      <w:r>
        <w:rPr>
          <w:rFonts w:hint="eastAsia" w:ascii="楷体_GB2312" w:hAnsi="宋体" w:eastAsia="楷体_GB2312"/>
          <w:bCs/>
          <w:szCs w:val="32"/>
          <w:lang w:val="zh-CN"/>
        </w:rPr>
        <w:t>（三）评价选点。</w:t>
      </w:r>
      <w:r>
        <w:rPr>
          <w:rFonts w:hint="eastAsia" w:ascii="仿宋_GB2312" w:hAnsi="方正仿宋_GB2312" w:cs="方正仿宋_GB2312"/>
          <w:bCs/>
          <w:szCs w:val="32"/>
        </w:rPr>
        <w:t>主要对资金使用情况进行抽查。</w:t>
      </w:r>
    </w:p>
    <w:p>
      <w:pPr>
        <w:spacing w:line="576" w:lineRule="exact"/>
        <w:ind w:firstLine="640"/>
        <w:rPr>
          <w:bCs/>
        </w:rPr>
      </w:pPr>
      <w:r>
        <w:rPr>
          <w:rFonts w:hint="eastAsia" w:ascii="楷体_GB2312" w:hAnsi="宋体" w:eastAsia="楷体_GB2312"/>
          <w:bCs/>
          <w:szCs w:val="32"/>
          <w:lang w:val="zh-CN"/>
        </w:rPr>
        <w:t>（四）评价方法。</w:t>
      </w:r>
      <w:r>
        <w:rPr>
          <w:rFonts w:hint="eastAsia" w:ascii="仿宋_GB2312" w:hAnsi="方正仿宋_GB2312" w:cs="方正仿宋_GB2312"/>
          <w:bCs/>
          <w:szCs w:val="32"/>
        </w:rPr>
        <w:t>采用单位自评法。</w:t>
      </w:r>
    </w:p>
    <w:p>
      <w:pPr>
        <w:spacing w:line="576" w:lineRule="exact"/>
        <w:ind w:firstLine="640"/>
        <w:rPr>
          <w:rFonts w:ascii="仿宋_GB2312" w:hAnsi="方正仿宋_GB2312" w:cs="方正仿宋_GB2312"/>
        </w:rPr>
      </w:pPr>
      <w:r>
        <w:rPr>
          <w:rFonts w:hint="eastAsia" w:ascii="楷体_GB2312" w:hAnsi="宋体" w:eastAsia="楷体_GB2312"/>
          <w:bCs/>
          <w:szCs w:val="32"/>
          <w:lang w:val="zh-CN"/>
        </w:rPr>
        <w:t>（五）评价组织。</w:t>
      </w:r>
      <w:r>
        <w:rPr>
          <w:rFonts w:hint="eastAsia" w:ascii="仿宋_GB2312" w:hAnsi="方正仿宋_GB2312" w:cs="方正仿宋_GB2312"/>
          <w:bCs/>
          <w:szCs w:val="32"/>
        </w:rPr>
        <w:t>组建项目评价小组，单位负责人为组长，负责自评全面工作；分</w:t>
      </w:r>
      <w:r>
        <w:rPr>
          <w:rFonts w:hint="eastAsia" w:ascii="仿宋_GB2312" w:hAnsi="方正仿宋_GB2312" w:cs="方正仿宋_GB2312"/>
          <w:szCs w:val="32"/>
        </w:rPr>
        <w:t>管领导为副组长，负责安排实施各板块工作、相关部门负责人为成员，负责评价具体工作。</w:t>
      </w:r>
    </w:p>
    <w:p>
      <w:pPr>
        <w:adjustRightInd w:val="0"/>
        <w:snapToGrid w:val="0"/>
        <w:spacing w:line="576" w:lineRule="exact"/>
        <w:ind w:firstLine="640" w:firstLineChars="200"/>
        <w:rPr>
          <w:rFonts w:ascii="仿宋_GB2312" w:hAnsi="宋体"/>
          <w:lang w:val="zh-CN"/>
        </w:rPr>
      </w:pPr>
      <w:r>
        <w:rPr>
          <w:rFonts w:hint="eastAsia" w:ascii="黑体" w:hAnsi="宋体" w:eastAsia="黑体"/>
          <w:szCs w:val="32"/>
        </w:rPr>
        <w:t>三、绩效分析</w:t>
      </w:r>
      <w:r>
        <w:rPr>
          <w:rFonts w:hint="eastAsia" w:ascii="仿宋_GB2312" w:hAnsi="宋体"/>
          <w:szCs w:val="32"/>
          <w:lang w:val="zh-CN"/>
        </w:rPr>
        <w:tab/>
      </w:r>
    </w:p>
    <w:p>
      <w:pPr>
        <w:spacing w:line="576" w:lineRule="exact"/>
        <w:ind w:firstLine="640"/>
        <w:rPr>
          <w:rFonts w:ascii="楷体_GB2312" w:hAnsi="宋体" w:eastAsia="楷体_GB2312"/>
          <w:bCs/>
        </w:rPr>
      </w:pPr>
      <w:r>
        <w:rPr>
          <w:rFonts w:hint="eastAsia" w:ascii="楷体_GB2312" w:hAnsi="宋体" w:eastAsia="楷体_GB2312"/>
          <w:bCs/>
          <w:szCs w:val="32"/>
          <w:lang w:val="zh-CN"/>
        </w:rPr>
        <w:t>（一）</w:t>
      </w:r>
      <w:r>
        <w:rPr>
          <w:rFonts w:hint="eastAsia" w:ascii="楷体_GB2312" w:hAnsi="宋体" w:eastAsia="楷体_GB2312"/>
          <w:bCs/>
          <w:szCs w:val="32"/>
        </w:rPr>
        <w:t>通用指标</w:t>
      </w:r>
      <w:r>
        <w:rPr>
          <w:rFonts w:ascii="楷体_GB2312" w:hAnsi="宋体" w:eastAsia="楷体_GB2312"/>
          <w:bCs/>
          <w:szCs w:val="32"/>
          <w:lang w:val="zh-CN"/>
        </w:rPr>
        <w:t>绩效分析</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bCs/>
          <w:szCs w:val="32"/>
        </w:rPr>
        <w:t>1.项目决策。项目设立、调整延</w:t>
      </w:r>
      <w:r>
        <w:rPr>
          <w:rFonts w:hint="eastAsia" w:ascii="仿宋_GB2312" w:hAnsi="方正仿宋_GB2312" w:cs="方正仿宋_GB2312"/>
          <w:szCs w:val="32"/>
        </w:rPr>
        <w:t>续等方面符合资金管理基本规范和决策程序要求；项目规划符合党中央国务院、省委省政府、市委市政府有关决策部署安排，项目资金与项目总体规划、相关行业事业发展相匹配。绩效目标科学合理、规范完整、量化细化、与预算匹配。自评得分18分。</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2.项目管理。项目资金分配合理，项目管理、审批符合管理要求；项目绩效监管均按要求开展。自评得分18分。</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3.项目实施</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完成了200户以上征拆并拆除房屋面积500平方米。</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4.项目结果。项目在计划内完成，且完成预期目标，实施结果与绩效目标相匹配。自评得分9分。</w:t>
      </w:r>
    </w:p>
    <w:p>
      <w:pPr>
        <w:spacing w:line="576" w:lineRule="exact"/>
        <w:ind w:firstLine="640" w:firstLineChars="200"/>
        <w:rPr>
          <w:rFonts w:ascii="楷体_GB2312" w:hAnsi="楷体_GB2312" w:eastAsia="楷体_GB2312" w:cs="楷体_GB2312"/>
          <w:bCs/>
          <w:lang w:val="zh-CN"/>
        </w:rPr>
      </w:pPr>
      <w:r>
        <w:rPr>
          <w:rFonts w:hint="eastAsia" w:ascii="楷体_GB2312" w:hAnsi="宋体" w:eastAsia="楷体_GB2312"/>
          <w:bCs/>
          <w:szCs w:val="32"/>
          <w:lang w:val="zh-CN"/>
        </w:rPr>
        <w:t>（二）</w:t>
      </w:r>
      <w:r>
        <w:rPr>
          <w:rFonts w:hint="eastAsia" w:ascii="楷体_GB2312" w:hAnsi="宋体" w:eastAsia="楷体_GB2312"/>
          <w:bCs/>
          <w:szCs w:val="32"/>
        </w:rPr>
        <w:t>专用指标</w:t>
      </w:r>
      <w:r>
        <w:rPr>
          <w:rFonts w:eastAsia="楷体_GB2312"/>
          <w:bCs/>
          <w:color w:val="000000"/>
          <w:kern w:val="0"/>
          <w:szCs w:val="32"/>
          <w:shd w:val="clear" w:color="auto" w:fill="FFFFFF"/>
          <w:lang w:val="zh-CN"/>
        </w:rPr>
        <w:t>绩效分析。</w:t>
      </w:r>
    </w:p>
    <w:p>
      <w:pPr>
        <w:adjustRightInd w:val="0"/>
        <w:snapToGrid w:val="0"/>
        <w:spacing w:line="576" w:lineRule="exact"/>
        <w:ind w:firstLine="640" w:firstLineChars="200"/>
        <w:rPr>
          <w:rFonts w:ascii="仿宋_GB2312" w:hAnsi="方正仿宋_GB2312" w:cs="方正仿宋_GB2312"/>
          <w:bCs/>
        </w:rPr>
      </w:pPr>
      <w:r>
        <w:rPr>
          <w:rFonts w:hint="eastAsia" w:ascii="仿宋_GB2312" w:hAnsi="方正仿宋_GB2312" w:cs="方正仿宋_GB2312"/>
          <w:bCs/>
          <w:szCs w:val="32"/>
        </w:rPr>
        <w:t>本次征拆等前期建设任务，项目按计划完工，达到了预期的资金使用效率。自评得分30分。</w:t>
      </w:r>
    </w:p>
    <w:p>
      <w:pPr>
        <w:adjustRightInd w:val="0"/>
        <w:snapToGrid w:val="0"/>
        <w:spacing w:line="576" w:lineRule="exact"/>
        <w:ind w:firstLine="640" w:firstLineChars="200"/>
        <w:rPr>
          <w:rFonts w:ascii="仿宋_GB2312" w:hAnsi="方正仿宋_GB2312" w:cs="方正仿宋_GB2312"/>
        </w:rPr>
      </w:pPr>
      <w:r>
        <w:rPr>
          <w:rFonts w:hint="eastAsia" w:ascii="楷体_GB2312" w:hAnsi="宋体" w:eastAsia="楷体_GB2312"/>
          <w:bCs/>
          <w:szCs w:val="32"/>
          <w:lang w:val="zh-CN"/>
        </w:rPr>
        <w:t>（三）</w:t>
      </w:r>
      <w:r>
        <w:rPr>
          <w:rFonts w:hint="eastAsia" w:ascii="楷体_GB2312" w:hAnsi="宋体" w:eastAsia="楷体_GB2312"/>
          <w:bCs/>
          <w:szCs w:val="32"/>
        </w:rPr>
        <w:t>个性指标</w:t>
      </w:r>
      <w:r>
        <w:rPr>
          <w:rFonts w:eastAsia="楷体_GB2312"/>
          <w:bCs/>
          <w:color w:val="000000"/>
          <w:kern w:val="0"/>
          <w:szCs w:val="32"/>
          <w:shd w:val="clear" w:color="auto" w:fill="FFFFFF"/>
          <w:lang w:val="zh-CN"/>
        </w:rPr>
        <w:t>绩效分析。</w:t>
      </w:r>
      <w:r>
        <w:rPr>
          <w:rFonts w:hint="eastAsia" w:ascii="仿宋_GB2312" w:hAnsi="方正仿宋_GB2312" w:cs="方正仿宋_GB2312"/>
          <w:bCs/>
          <w:szCs w:val="32"/>
        </w:rPr>
        <w:t>城市</w:t>
      </w:r>
      <w:r>
        <w:rPr>
          <w:rFonts w:hint="eastAsia" w:ascii="仿宋_GB2312" w:hAnsi="方正仿宋_GB2312" w:cs="方正仿宋_GB2312"/>
          <w:szCs w:val="32"/>
        </w:rPr>
        <w:t>修补、生态修复，综合提升城市景观风貌品质，片区人居环境改善，增加临时就业岗位，带动群众增收。自评得分14分。</w:t>
      </w:r>
    </w:p>
    <w:p>
      <w:pPr>
        <w:pStyle w:val="2"/>
        <w:spacing w:before="93" w:line="576" w:lineRule="exact"/>
        <w:ind w:firstLine="640" w:firstLineChars="200"/>
        <w:rPr>
          <w:rFonts w:ascii="黑体" w:hAnsi="宋体"/>
          <w:sz w:val="32"/>
          <w:szCs w:val="32"/>
        </w:rPr>
      </w:pPr>
      <w:r>
        <w:rPr>
          <w:rFonts w:hint="eastAsia" w:ascii="黑体" w:hAnsi="宋体" w:eastAsia="黑体"/>
          <w:sz w:val="32"/>
          <w:szCs w:val="32"/>
        </w:rPr>
        <w:t>四、评价结论</w:t>
      </w:r>
    </w:p>
    <w:p>
      <w:pPr>
        <w:adjustRightInd w:val="0"/>
        <w:snapToGrid w:val="0"/>
        <w:spacing w:line="576" w:lineRule="exact"/>
        <w:ind w:firstLine="640" w:firstLineChars="200"/>
        <w:rPr>
          <w:rFonts w:ascii="仿宋_GB2312" w:hAnsi="方正仿宋_GB2312" w:cs="方正仿宋_GB2312"/>
          <w:szCs w:val="32"/>
        </w:rPr>
      </w:pPr>
      <w:r>
        <w:rPr>
          <w:rFonts w:hint="eastAsia" w:ascii="仿宋_GB2312" w:hAnsi="方正仿宋_GB2312" w:cs="方正仿宋_GB2312"/>
          <w:szCs w:val="32"/>
        </w:rPr>
        <w:t>该项目经评价小组认真、系统评价，项目实施较好，自评得分98分。</w:t>
      </w:r>
    </w:p>
    <w:p>
      <w:pPr>
        <w:pStyle w:val="2"/>
        <w:spacing w:before="93" w:line="576" w:lineRule="exact"/>
        <w:ind w:firstLine="640" w:firstLineChars="200"/>
        <w:rPr>
          <w:rFonts w:ascii="黑体" w:hAnsi="黑体" w:eastAsia="黑体"/>
          <w:sz w:val="32"/>
          <w:szCs w:val="32"/>
        </w:rPr>
      </w:pPr>
      <w:r>
        <w:rPr>
          <w:rFonts w:hint="eastAsia" w:ascii="黑体" w:hAnsi="黑体" w:eastAsia="黑体"/>
          <w:sz w:val="32"/>
          <w:szCs w:val="32"/>
        </w:rPr>
        <w:t>五、存在主要问题</w:t>
      </w:r>
    </w:p>
    <w:p>
      <w:pPr>
        <w:adjustRightInd w:val="0"/>
        <w:snapToGrid w:val="0"/>
        <w:spacing w:line="576" w:lineRule="exact"/>
        <w:ind w:firstLine="640" w:firstLineChars="200"/>
        <w:rPr>
          <w:rFonts w:ascii="仿宋_GB2312" w:hAnsi="方正仿宋_GB2312" w:cs="方正仿宋_GB2312"/>
          <w:szCs w:val="32"/>
        </w:rPr>
      </w:pPr>
      <w:r>
        <w:rPr>
          <w:rFonts w:hint="eastAsia" w:ascii="仿宋_GB2312" w:hAnsi="方正仿宋_GB2312" w:cs="方正仿宋_GB2312"/>
          <w:szCs w:val="32"/>
        </w:rPr>
        <w:t>专项预算项目绩效指标设置需加强。</w:t>
      </w:r>
    </w:p>
    <w:p>
      <w:pPr>
        <w:pStyle w:val="2"/>
        <w:spacing w:before="93" w:line="576" w:lineRule="exact"/>
        <w:ind w:firstLine="640" w:firstLineChars="200"/>
        <w:rPr>
          <w:rFonts w:ascii="黑体" w:hAnsi="宋体"/>
          <w:sz w:val="32"/>
          <w:szCs w:val="32"/>
          <w:lang w:val="zh-CN"/>
        </w:rPr>
      </w:pPr>
      <w:r>
        <w:rPr>
          <w:rFonts w:hint="eastAsia" w:ascii="黑体" w:hAnsi="宋体" w:eastAsia="黑体"/>
          <w:position w:val="3"/>
          <w:sz w:val="32"/>
          <w:szCs w:val="32"/>
          <w:lang w:val="zh-CN"/>
        </w:rPr>
        <w:t>六、改进建议</w:t>
      </w:r>
    </w:p>
    <w:p>
      <w:pPr>
        <w:adjustRightInd w:val="0"/>
        <w:snapToGrid w:val="0"/>
        <w:spacing w:line="576" w:lineRule="exact"/>
        <w:ind w:firstLine="640" w:firstLineChars="200"/>
        <w:rPr>
          <w:rFonts w:ascii="仿宋_GB2312" w:hAnsi="方正仿宋_GB2312" w:cs="方正仿宋_GB2312"/>
        </w:rPr>
      </w:pPr>
      <w:r>
        <w:rPr>
          <w:rFonts w:hint="eastAsia" w:ascii="仿宋_GB2312" w:hAnsi="方正仿宋_GB2312" w:cs="方正仿宋_GB2312"/>
          <w:szCs w:val="32"/>
        </w:rPr>
        <w:t>加强对申报项目的培训学习，使项目编制更加符合绩效评价相关要求，牢固树立绩效管理理念，同时进一步提高绩效评价工作方式、方法。</w:t>
      </w:r>
    </w:p>
    <w:p>
      <w:pPr>
        <w:pStyle w:val="2"/>
        <w:spacing w:before="93" w:line="576" w:lineRule="exact"/>
      </w:pPr>
    </w:p>
    <w:p>
      <w:pPr>
        <w:pStyle w:val="2"/>
        <w:spacing w:before="93" w:line="576" w:lineRule="exact"/>
      </w:pPr>
    </w:p>
    <w:p>
      <w:pPr>
        <w:pStyle w:val="2"/>
        <w:spacing w:before="93" w:line="576" w:lineRule="exact"/>
      </w:pPr>
    </w:p>
    <w:p>
      <w:pPr>
        <w:pStyle w:val="38"/>
        <w:adjustRightInd w:val="0"/>
        <w:snapToGrid w:val="0"/>
        <w:spacing w:line="600" w:lineRule="exact"/>
        <w:jc w:val="center"/>
        <w:rPr>
          <w:rFonts w:ascii="方正小标宋简体" w:hAnsi="新宋体" w:eastAsia="方正小标宋简体" w:cs="方正小标宋简体"/>
          <w:color w:val="000000" w:themeColor="text1"/>
          <w:sz w:val="40"/>
          <w:szCs w:val="40"/>
          <w14:textFill>
            <w14:solidFill>
              <w14:schemeClr w14:val="tx1"/>
            </w14:solidFill>
          </w14:textFill>
        </w:rPr>
      </w:pPr>
      <w:r>
        <w:rPr>
          <w:rFonts w:hint="eastAsia" w:ascii="方正小标宋简体" w:hAnsi="新宋体" w:eastAsia="方正小标宋简体" w:cs="方正小标宋简体"/>
          <w:color w:val="000000" w:themeColor="text1"/>
          <w:sz w:val="40"/>
          <w:szCs w:val="40"/>
          <w14:textFill>
            <w14:solidFill>
              <w14:schemeClr w14:val="tx1"/>
            </w14:solidFill>
          </w14:textFill>
        </w:rPr>
        <w:t>2023年</w:t>
      </w:r>
      <w:r>
        <w:rPr>
          <w:rFonts w:hint="eastAsia" w:ascii="方正小标宋简体" w:hAnsi="新宋体" w:eastAsia="方正小标宋简体" w:cs="方正小标宋简体"/>
          <w:color w:val="000000" w:themeColor="text1"/>
          <w:sz w:val="40"/>
          <w:szCs w:val="40"/>
          <w:shd w:val="clear" w:color="auto" w:fill="FFFFFF"/>
          <w14:textFill>
            <w14:solidFill>
              <w14:schemeClr w14:val="tx1"/>
            </w14:solidFill>
          </w14:textFill>
        </w:rPr>
        <w:t>市级专项资金预算</w:t>
      </w:r>
      <w:r>
        <w:rPr>
          <w:rFonts w:hint="eastAsia" w:ascii="方正小标宋简体" w:hAnsi="新宋体" w:eastAsia="方正小标宋简体" w:cs="方正小标宋简体"/>
          <w:color w:val="000000" w:themeColor="text1"/>
          <w:sz w:val="40"/>
          <w:szCs w:val="40"/>
          <w14:textFill>
            <w14:solidFill>
              <w14:schemeClr w14:val="tx1"/>
            </w14:solidFill>
          </w14:textFill>
        </w:rPr>
        <w:t>项目支出绩效</w:t>
      </w:r>
    </w:p>
    <w:p>
      <w:pPr>
        <w:pStyle w:val="38"/>
        <w:adjustRightInd w:val="0"/>
        <w:snapToGrid w:val="0"/>
        <w:spacing w:line="600" w:lineRule="exact"/>
        <w:jc w:val="center"/>
        <w:rPr>
          <w:rFonts w:ascii="方正小标宋简体" w:hAnsi="新宋体" w:eastAsia="方正小标宋简体" w:cs="方正小标宋简体"/>
          <w:color w:val="000000" w:themeColor="text1"/>
          <w:sz w:val="40"/>
          <w:szCs w:val="40"/>
          <w14:textFill>
            <w14:solidFill>
              <w14:schemeClr w14:val="tx1"/>
            </w14:solidFill>
          </w14:textFill>
        </w:rPr>
      </w:pPr>
      <w:r>
        <w:rPr>
          <w:rFonts w:hint="eastAsia" w:ascii="方正小标宋简体" w:hAnsi="新宋体" w:eastAsia="方正小标宋简体" w:cs="方正小标宋简体"/>
          <w:color w:val="000000" w:themeColor="text1"/>
          <w:sz w:val="40"/>
          <w:szCs w:val="40"/>
          <w14:textFill>
            <w14:solidFill>
              <w14:schemeClr w14:val="tx1"/>
            </w14:solidFill>
          </w14:textFill>
        </w:rPr>
        <w:t>自评报告</w:t>
      </w:r>
    </w:p>
    <w:p>
      <w:pPr>
        <w:adjustRightInd w:val="0"/>
        <w:snapToGrid w:val="0"/>
        <w:spacing w:line="60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w:t>
      </w:r>
      <w:r>
        <w:rPr>
          <w:rFonts w:hint="eastAsia" w:ascii="楷体_GB2312" w:eastAsia="楷体_GB2312"/>
          <w:color w:val="000000" w:themeColor="text1"/>
          <w14:textFill>
            <w14:solidFill>
              <w14:schemeClr w14:val="tx1"/>
            </w14:solidFill>
          </w14:textFill>
        </w:rPr>
        <w:t>固定资产购置费项目</w:t>
      </w:r>
      <w:r>
        <w:rPr>
          <w:rFonts w:hint="eastAsia" w:ascii="楷体_GB2312" w:hAnsi="楷体_GB2312" w:eastAsia="楷体_GB2312" w:cs="楷体_GB2312"/>
          <w:color w:val="000000" w:themeColor="text1"/>
          <w14:textFill>
            <w14:solidFill>
              <w14:schemeClr w14:val="tx1"/>
            </w14:solidFill>
          </w14:textFill>
        </w:rPr>
        <w:t>）</w:t>
      </w:r>
    </w:p>
    <w:p>
      <w:pPr>
        <w:adjustRightInd w:val="0"/>
        <w:snapToGrid w:val="0"/>
        <w:spacing w:line="600" w:lineRule="exact"/>
        <w:ind w:firstLine="640"/>
        <w:rPr>
          <w:rFonts w:ascii="宋体"/>
          <w:color w:val="000000" w:themeColor="text1"/>
          <w:lang w:val="zh-CN"/>
          <w14:textFill>
            <w14:solidFill>
              <w14:schemeClr w14:val="tx1"/>
            </w14:solidFill>
          </w14:textFill>
        </w:rPr>
      </w:pPr>
    </w:p>
    <w:p>
      <w:pPr>
        <w:numPr>
          <w:ilvl w:val="0"/>
          <w:numId w:val="7"/>
        </w:numPr>
        <w:adjustRightInd w:val="0"/>
        <w:snapToGrid w:val="0"/>
        <w:spacing w:line="600" w:lineRule="exact"/>
        <w:ind w:firstLine="640" w:firstLineChars="200"/>
        <w:rPr>
          <w:rFonts w:ascii="黑体" w:hAnsi="宋体" w:eastAsia="黑体"/>
          <w:color w:val="000000" w:themeColor="text1"/>
          <w:lang w:val="zh-CN"/>
          <w14:textFill>
            <w14:solidFill>
              <w14:schemeClr w14:val="tx1"/>
            </w14:solidFill>
          </w14:textFill>
        </w:rPr>
      </w:pPr>
      <w:r>
        <w:rPr>
          <w:rFonts w:hint="eastAsia" w:ascii="黑体" w:hAnsi="宋体" w:eastAsia="黑体"/>
          <w:color w:val="000000" w:themeColor="text1"/>
          <w:lang w:val="zh-CN"/>
          <w14:textFill>
            <w14:solidFill>
              <w14:schemeClr w14:val="tx1"/>
            </w14:solidFill>
          </w14:textFill>
        </w:rPr>
        <w:t>项目概况</w:t>
      </w:r>
    </w:p>
    <w:p>
      <w:pPr>
        <w:adjustRightInd w:val="0"/>
        <w:snapToGrid w:val="0"/>
        <w:spacing w:line="600" w:lineRule="exact"/>
        <w:ind w:firstLine="643"/>
        <w:rPr>
          <w:rFonts w:ascii="仿宋_GB2312" w:hAnsi="宋体"/>
          <w:color w:val="000000" w:themeColor="text1"/>
          <w14:textFill>
            <w14:solidFill>
              <w14:schemeClr w14:val="tx1"/>
            </w14:solidFill>
          </w14:textFill>
        </w:rPr>
      </w:pPr>
      <w:r>
        <w:rPr>
          <w:rFonts w:hint="eastAsia" w:ascii="楷体_GB2312" w:hAnsi="楷体_GB2312" w:eastAsia="楷体_GB2312" w:cs="楷体_GB2312"/>
          <w:b/>
          <w:bCs/>
          <w:color w:val="000000" w:themeColor="text1"/>
          <w:lang w:val="zh-CN"/>
          <w14:textFill>
            <w14:solidFill>
              <w14:schemeClr w14:val="tx1"/>
            </w14:solidFill>
          </w14:textFill>
        </w:rPr>
        <w:t>（一）项目设立背景及基本情况。</w:t>
      </w:r>
      <w:r>
        <w:rPr>
          <w:rFonts w:hint="eastAsia" w:ascii="仿宋_GB2312" w:hAnsi="宋体"/>
          <w:color w:val="000000" w:themeColor="text1"/>
          <w:lang w:val="zh-CN"/>
          <w14:textFill>
            <w14:solidFill>
              <w14:schemeClr w14:val="tx1"/>
            </w14:solidFill>
          </w14:textFill>
        </w:rPr>
        <w:t>严格按照《</w:t>
      </w:r>
      <w:r>
        <w:rPr>
          <w:rFonts w:hint="eastAsia" w:ascii="仿宋_GB2312" w:hAnsi="宋体"/>
          <w:color w:val="000000" w:themeColor="text1"/>
          <w14:textFill>
            <w14:solidFill>
              <w14:schemeClr w14:val="tx1"/>
            </w14:solidFill>
          </w14:textFill>
        </w:rPr>
        <w:t>广元市财政局关于印发广元市市级行政事业单位通用办公设备和家具配置标准</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的通知</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广财办</w:t>
      </w:r>
      <w:r>
        <w:rPr>
          <w:rFonts w:hint="eastAsia" w:ascii="仿宋_GB2312" w:hAnsi="宋体"/>
          <w:color w:val="000000" w:themeColor="text1"/>
          <w:lang w:val="zh-CN"/>
          <w14:textFill>
            <w14:solidFill>
              <w14:schemeClr w14:val="tx1"/>
            </w14:solidFill>
          </w14:textFill>
        </w:rPr>
        <w:t>〔20</w:t>
      </w:r>
      <w:r>
        <w:rPr>
          <w:rFonts w:hint="eastAsia" w:ascii="仿宋_GB2312" w:hAnsi="宋体"/>
          <w:color w:val="000000" w:themeColor="text1"/>
          <w14:textFill>
            <w14:solidFill>
              <w14:schemeClr w14:val="tx1"/>
            </w14:solidFill>
          </w14:textFill>
        </w:rPr>
        <w:t>21</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60号</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文件</w:t>
      </w:r>
      <w:r>
        <w:rPr>
          <w:rFonts w:hint="eastAsia" w:ascii="仿宋_GB2312" w:hAnsi="宋体"/>
          <w:color w:val="000000" w:themeColor="text1"/>
          <w:lang w:val="zh-CN"/>
          <w14:textFill>
            <w14:solidFill>
              <w14:schemeClr w14:val="tx1"/>
            </w14:solidFill>
          </w14:textFill>
        </w:rPr>
        <w:t>相关规定，</w:t>
      </w:r>
      <w:r>
        <w:rPr>
          <w:rFonts w:hint="eastAsia" w:ascii="仿宋_GB2312" w:hAnsi="宋体"/>
          <w:color w:val="000000" w:themeColor="text1"/>
          <w14:textFill>
            <w14:solidFill>
              <w14:schemeClr w14:val="tx1"/>
            </w14:solidFill>
          </w14:textFill>
        </w:rPr>
        <w:t>编制固定资产购置费预算。</w:t>
      </w:r>
    </w:p>
    <w:p>
      <w:pPr>
        <w:adjustRightInd w:val="0"/>
        <w:snapToGrid w:val="0"/>
        <w:spacing w:line="600" w:lineRule="exact"/>
        <w:ind w:firstLine="643"/>
        <w:rPr>
          <w:rFonts w:ascii="楷体_GB2312" w:hAnsi="楷体_GB2312" w:eastAsia="楷体_GB2312" w:cs="楷体_GB2312"/>
          <w:b/>
          <w:bCs/>
          <w:color w:val="000000" w:themeColor="text1"/>
          <w:lang w:val="zh-CN"/>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（二）</w:t>
      </w:r>
      <w:r>
        <w:rPr>
          <w:rFonts w:ascii="楷体_GB2312" w:hAnsi="宋体" w:eastAsia="楷体_GB2312"/>
          <w:b/>
          <w:color w:val="000000" w:themeColor="text1"/>
          <w14:textFill>
            <w14:solidFill>
              <w14:schemeClr w14:val="tx1"/>
            </w14:solidFill>
          </w14:textFill>
        </w:rPr>
        <w:t>实施目的及支持方向</w:t>
      </w:r>
      <w:r>
        <w:rPr>
          <w:rFonts w:hint="eastAsia" w:ascii="楷体_GB2312" w:hAnsi="宋体" w:eastAsia="楷体_GB2312"/>
          <w:b/>
          <w:color w:val="000000" w:themeColor="text1"/>
          <w14:textFill>
            <w14:solidFill>
              <w14:schemeClr w14:val="tx1"/>
            </w14:solidFill>
          </w14:textFill>
        </w:rPr>
        <w:t>。</w:t>
      </w:r>
      <w:r>
        <w:rPr>
          <w:rFonts w:hint="eastAsia" w:ascii="仿宋_GB2312" w:hAnsi="宋体"/>
          <w:color w:val="000000" w:themeColor="text1"/>
          <w:lang w:val="zh-CN"/>
          <w14:textFill>
            <w14:solidFill>
              <w14:schemeClr w14:val="tx1"/>
            </w14:solidFill>
          </w14:textFill>
        </w:rPr>
        <w:t>提升办文办会资料印制效率，优化办公及资产管理质量，根据我单位办公实际需要申报资金。</w:t>
      </w:r>
    </w:p>
    <w:p>
      <w:pPr>
        <w:adjustRightInd w:val="0"/>
        <w:snapToGrid w:val="0"/>
        <w:spacing w:line="600" w:lineRule="exact"/>
        <w:ind w:firstLine="640"/>
        <w:rPr>
          <w:rFonts w:ascii="仿宋_GB2312" w:hAnsi="宋体"/>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（三）</w:t>
      </w:r>
      <w:r>
        <w:rPr>
          <w:rFonts w:ascii="楷体_GB2312" w:hAnsi="宋体" w:eastAsia="楷体_GB2312"/>
          <w:b/>
          <w:color w:val="000000" w:themeColor="text1"/>
          <w14:textFill>
            <w14:solidFill>
              <w14:schemeClr w14:val="tx1"/>
            </w14:solidFill>
          </w14:textFill>
        </w:rPr>
        <w:t>预算安排及分配管理</w:t>
      </w:r>
      <w:r>
        <w:rPr>
          <w:rFonts w:hint="eastAsia" w:ascii="楷体_GB2312" w:hAnsi="宋体" w:eastAsia="楷体_GB2312"/>
          <w:b/>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市财政局批复我单位2023年固定资产购置费预算经费2.9万元。该项目专用资金预算复印机一体机1台，经市机管局、市财政局审批采购目录程序合规。</w:t>
      </w:r>
    </w:p>
    <w:p>
      <w:pPr>
        <w:adjustRightInd w:val="0"/>
        <w:snapToGrid w:val="0"/>
        <w:spacing w:line="600" w:lineRule="exact"/>
        <w:ind w:firstLine="640"/>
        <w:rPr>
          <w:rFonts w:ascii="仿宋_GB2312" w:hAnsi="宋体"/>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（四）项目绩效目标设置。</w:t>
      </w:r>
      <w:r>
        <w:rPr>
          <w:rFonts w:hint="eastAsia" w:ascii="仿宋_GB2312" w:hAnsi="宋体"/>
          <w:color w:val="000000" w:themeColor="text1"/>
          <w14:textFill>
            <w14:solidFill>
              <w14:schemeClr w14:val="tx1"/>
            </w14:solidFill>
          </w14:textFill>
        </w:rPr>
        <w:t>我单位认真填报《2023年预算项目支出绩效目标申报表》，编制固定资产购置费预算。</w:t>
      </w:r>
    </w:p>
    <w:p>
      <w:pPr>
        <w:adjustRightInd w:val="0"/>
        <w:snapToGrid w:val="0"/>
        <w:spacing w:line="600" w:lineRule="exact"/>
        <w:ind w:firstLine="640" w:firstLineChars="200"/>
        <w:rPr>
          <w:rFonts w:ascii="黑体" w:hAnsi="宋体" w:eastAsia="黑体"/>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二、评价实施</w:t>
      </w:r>
    </w:p>
    <w:p>
      <w:pPr>
        <w:adjustRightInd w:val="0"/>
        <w:snapToGrid w:val="0"/>
        <w:spacing w:line="600" w:lineRule="exact"/>
        <w:ind w:firstLine="640"/>
        <w:rPr>
          <w:rFonts w:ascii="仿宋" w:hAnsi="仿宋"/>
          <w:color w:val="000000" w:themeColor="text1"/>
          <w:sz w:val="30"/>
          <w:szCs w:val="30"/>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（一）评价目的。</w:t>
      </w:r>
      <w:r>
        <w:rPr>
          <w:rFonts w:hint="eastAsia" w:ascii="仿宋_GB2312" w:hAnsi="宋体"/>
          <w:color w:val="000000" w:themeColor="text1"/>
          <w14:textFill>
            <w14:solidFill>
              <w14:schemeClr w14:val="tx1"/>
            </w14:solidFill>
          </w14:textFill>
        </w:rPr>
        <w:t>解决我单位通过办公设备已超最低年限超期使用，维修维护资金成本大，办公效率低，保障办公效率和办公质量。</w:t>
      </w:r>
    </w:p>
    <w:p>
      <w:pPr>
        <w:adjustRightInd w:val="0"/>
        <w:snapToGrid w:val="0"/>
        <w:spacing w:line="600" w:lineRule="exact"/>
        <w:ind w:firstLine="640"/>
        <w:rPr>
          <w:rFonts w:ascii="仿宋" w:hAnsi="仿宋"/>
          <w:color w:val="000000" w:themeColor="text1"/>
          <w:sz w:val="30"/>
          <w:szCs w:val="30"/>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（二）预设问题及评价重点。</w:t>
      </w:r>
      <w:r>
        <w:rPr>
          <w:rFonts w:hint="eastAsia" w:ascii="仿宋_GB2312" w:hAnsi="宋体"/>
          <w:color w:val="000000" w:themeColor="text1"/>
          <w:lang w:val="zh-CN"/>
          <w14:textFill>
            <w14:solidFill>
              <w14:schemeClr w14:val="tx1"/>
            </w14:solidFill>
          </w14:textFill>
        </w:rPr>
        <w:t>项目主要内容</w:t>
      </w:r>
      <w:r>
        <w:rPr>
          <w:rFonts w:hint="eastAsia" w:ascii="仿宋_GB2312" w:hAnsi="宋体"/>
          <w:color w:val="000000" w:themeColor="text1"/>
          <w14:textFill>
            <w14:solidFill>
              <w14:schemeClr w14:val="tx1"/>
            </w14:solidFill>
          </w14:textFill>
        </w:rPr>
        <w:t>包括购买复印机1台，采购成本控制在2.9万元内，采购合格率达100%，采购办公设备均可使用至报废年限。</w:t>
      </w:r>
    </w:p>
    <w:p>
      <w:pPr>
        <w:adjustRightInd w:val="0"/>
        <w:snapToGrid w:val="0"/>
        <w:spacing w:line="600" w:lineRule="exact"/>
        <w:ind w:firstLine="642" w:firstLineChars="200"/>
        <w:rPr>
          <w:color w:val="000000" w:themeColor="text1"/>
          <w:lang w:val="zh-CN"/>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（三）评价选点。</w:t>
      </w:r>
      <w:r>
        <w:rPr>
          <w:rFonts w:hint="eastAsia" w:ascii="仿宋_GB2312" w:hAnsi="宋体"/>
          <w:color w:val="000000" w:themeColor="text1"/>
          <w14:textFill>
            <w14:solidFill>
              <w14:schemeClr w14:val="tx1"/>
            </w14:solidFill>
          </w14:textFill>
        </w:rPr>
        <w:t>按年初财政批复的预算项目支出绩效目标，</w:t>
      </w:r>
      <w:r>
        <w:rPr>
          <w:rFonts w:hint="eastAsia"/>
          <w:color w:val="000000" w:themeColor="text1"/>
          <w:lang w:val="zh-CN"/>
          <w14:textFill>
            <w14:solidFill>
              <w14:schemeClr w14:val="tx1"/>
            </w14:solidFill>
          </w14:textFill>
        </w:rPr>
        <w:t>项目绩效自评</w:t>
      </w:r>
      <w:r>
        <w:rPr>
          <w:rFonts w:hint="eastAsia" w:ascii="仿宋_GB2312" w:hAnsi="宋体"/>
          <w:color w:val="000000" w:themeColor="text1"/>
          <w14:textFill>
            <w14:solidFill>
              <w14:schemeClr w14:val="tx1"/>
            </w14:solidFill>
          </w14:textFill>
        </w:rPr>
        <w:t>采购成本控制在2.9万元内</w:t>
      </w:r>
      <w:r>
        <w:rPr>
          <w:rFonts w:hint="eastAsia"/>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预算资金执行比率及实际完成指标值计算自评得分100分。</w:t>
      </w:r>
    </w:p>
    <w:p>
      <w:pPr>
        <w:adjustRightInd w:val="0"/>
        <w:snapToGrid w:val="0"/>
        <w:spacing w:line="600" w:lineRule="exact"/>
        <w:ind w:firstLine="640"/>
        <w:rPr>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（四）评价方法。</w:t>
      </w:r>
      <w:r>
        <w:rPr>
          <w:color w:val="000000" w:themeColor="text1"/>
          <w14:textFill>
            <w14:solidFill>
              <w14:schemeClr w14:val="tx1"/>
            </w14:solidFill>
          </w14:textFill>
        </w:rPr>
        <w:t>根据项目情况和评价重点，</w:t>
      </w:r>
      <w:r>
        <w:rPr>
          <w:rFonts w:hint="eastAsia"/>
          <w:color w:val="000000" w:themeColor="text1"/>
          <w14:textFill>
            <w14:solidFill>
              <w14:schemeClr w14:val="tx1"/>
            </w14:solidFill>
          </w14:textFill>
        </w:rPr>
        <w:t>用来</w:t>
      </w:r>
      <w:r>
        <w:rPr>
          <w:color w:val="000000" w:themeColor="text1"/>
          <w14:textFill>
            <w14:solidFill>
              <w14:schemeClr w14:val="tx1"/>
            </w14:solidFill>
          </w14:textFill>
        </w:rPr>
        <w:t>收集相关材料和开展具体评价</w:t>
      </w:r>
      <w:r>
        <w:rPr>
          <w:rFonts w:hint="eastAsia"/>
          <w:color w:val="000000" w:themeColor="text1"/>
          <w14:textFill>
            <w14:solidFill>
              <w14:schemeClr w14:val="tx1"/>
            </w14:solidFill>
          </w14:textFill>
        </w:rPr>
        <w:t>的方法</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包括：</w:t>
      </w:r>
      <w:r>
        <w:rPr>
          <w:color w:val="000000" w:themeColor="text1"/>
          <w14:textFill>
            <w14:solidFill>
              <w14:schemeClr w14:val="tx1"/>
            </w14:solidFill>
          </w14:textFill>
        </w:rPr>
        <w:t>采用</w:t>
      </w:r>
      <w:r>
        <w:rPr>
          <w:rFonts w:hint="eastAsia"/>
          <w:color w:val="000000" w:themeColor="text1"/>
          <w14:textFill>
            <w14:solidFill>
              <w14:schemeClr w14:val="tx1"/>
            </w14:solidFill>
          </w14:textFill>
        </w:rPr>
        <w:t>成本效益分析法、</w:t>
      </w:r>
      <w:r>
        <w:rPr>
          <w:color w:val="000000" w:themeColor="text1"/>
          <w14:textFill>
            <w14:solidFill>
              <w14:schemeClr w14:val="tx1"/>
            </w14:solidFill>
          </w14:textFill>
        </w:rPr>
        <w:t>单位自评法、实地勘察法、问卷调查法、等多种方法</w:t>
      </w:r>
      <w:r>
        <w:rPr>
          <w:rFonts w:hint="eastAsia"/>
          <w:color w:val="000000" w:themeColor="text1"/>
          <w14:textFill>
            <w14:solidFill>
              <w14:schemeClr w14:val="tx1"/>
            </w14:solidFill>
          </w14:textFill>
        </w:rPr>
        <w:t>。</w:t>
      </w:r>
    </w:p>
    <w:p>
      <w:pPr>
        <w:adjustRightInd w:val="0"/>
        <w:snapToGrid w:val="0"/>
        <w:spacing w:line="600" w:lineRule="exact"/>
        <w:ind w:firstLine="640"/>
        <w:rPr>
          <w:rFonts w:ascii="仿宋_GB2312" w:hAnsi="楷体_GB2312" w:cs="楷体_GB2312"/>
          <w:bCs/>
          <w:color w:val="000000" w:themeColor="text1"/>
          <w:lang w:val="zh-CN"/>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（五）评价组织。</w:t>
      </w:r>
      <w:r>
        <w:rPr>
          <w:color w:val="000000" w:themeColor="text1"/>
          <w14:textFill>
            <w14:solidFill>
              <w14:schemeClr w14:val="tx1"/>
            </w14:solidFill>
          </w14:textFill>
        </w:rPr>
        <w:t>评价组人员构成</w:t>
      </w:r>
      <w:r>
        <w:rPr>
          <w:rFonts w:hint="eastAsia"/>
          <w:color w:val="000000" w:themeColor="text1"/>
          <w14:textFill>
            <w14:solidFill>
              <w14:schemeClr w14:val="tx1"/>
            </w14:solidFill>
          </w14:textFill>
        </w:rPr>
        <w:t>办公室及财务科人员，</w:t>
      </w:r>
      <w:r>
        <w:rPr>
          <w:color w:val="000000" w:themeColor="text1"/>
          <w14:textFill>
            <w14:solidFill>
              <w14:schemeClr w14:val="tx1"/>
            </w14:solidFill>
          </w14:textFill>
        </w:rPr>
        <w:t>职责分工</w:t>
      </w:r>
      <w:r>
        <w:rPr>
          <w:rFonts w:hint="eastAsia"/>
          <w:color w:val="000000" w:themeColor="text1"/>
          <w14:textFill>
            <w14:solidFill>
              <w14:schemeClr w14:val="tx1"/>
            </w14:solidFill>
          </w14:textFill>
        </w:rPr>
        <w:t>。</w:t>
      </w:r>
      <w:r>
        <w:rPr>
          <w:rFonts w:hint="eastAsia" w:ascii="仿宋_GB2312" w:hAnsi="宋体"/>
          <w:color w:val="000000" w:themeColor="text1"/>
          <w:lang w:val="zh-CN"/>
          <w14:textFill>
            <w14:solidFill>
              <w14:schemeClr w14:val="tx1"/>
            </w14:solidFill>
          </w14:textFill>
        </w:rPr>
        <w:t>财务人员岗位分工明确，内部财务管理制度完善，会计核算准确，会计档案管理规范，资金管理流程科学。在项目资金管理、使用上，坚持专款专用，量入为出的原则，各项专用资金使用正确，并达到预期目的。严格票据审核，每笔资金的支出都实行了统一申报项目资金计划，审批后按财务制度在</w:t>
      </w:r>
      <w:r>
        <w:rPr>
          <w:rFonts w:hint="eastAsia" w:ascii="仿宋_GB2312" w:hAnsi="宋体"/>
          <w:color w:val="000000" w:themeColor="text1"/>
          <w14:textFill>
            <w14:solidFill>
              <w14:schemeClr w14:val="tx1"/>
            </w14:solidFill>
          </w14:textFill>
        </w:rPr>
        <w:t>财政预算一体化管理信息系统审批</w:t>
      </w:r>
      <w:r>
        <w:rPr>
          <w:rFonts w:hint="eastAsia" w:ascii="仿宋_GB2312" w:hAnsi="宋体"/>
          <w:color w:val="000000" w:themeColor="text1"/>
          <w:lang w:val="zh-CN"/>
          <w14:textFill>
            <w14:solidFill>
              <w14:schemeClr w14:val="tx1"/>
            </w14:solidFill>
          </w14:textFill>
        </w:rPr>
        <w:t>支付。办公室人员负责实物管理，</w:t>
      </w:r>
      <w:r>
        <w:rPr>
          <w:rFonts w:hint="eastAsia" w:ascii="仿宋_GB2312" w:hAnsi="楷体_GB2312" w:cs="楷体_GB2312"/>
          <w:bCs/>
          <w:color w:val="000000" w:themeColor="text1"/>
          <w:lang w:val="zh-CN"/>
          <w14:textFill>
            <w14:solidFill>
              <w14:schemeClr w14:val="tx1"/>
            </w14:solidFill>
          </w14:textFill>
        </w:rPr>
        <w:t>使用</w:t>
      </w:r>
      <w:r>
        <w:rPr>
          <w:rFonts w:hint="eastAsia" w:ascii="仿宋_GB2312" w:hAnsi="仿宋_GB2312"/>
          <w:color w:val="000000" w:themeColor="text1"/>
          <w14:textFill>
            <w14:solidFill>
              <w14:schemeClr w14:val="tx1"/>
            </w14:solidFill>
          </w14:textFill>
        </w:rPr>
        <w:t>科室填写申报表，科室、分管领导审核签字，提交办公室汇总，</w:t>
      </w:r>
      <w:r>
        <w:rPr>
          <w:rFonts w:hint="eastAsia" w:ascii="仿宋_GB2312" w:hAnsi="楷体_GB2312" w:cs="楷体_GB2312"/>
          <w:bCs/>
          <w:color w:val="000000" w:themeColor="text1"/>
          <w:lang w:val="zh-CN"/>
          <w14:textFill>
            <w14:solidFill>
              <w14:schemeClr w14:val="tx1"/>
            </w14:solidFill>
          </w14:textFill>
        </w:rPr>
        <w:t>按固定资产管理制度做好入库、领用、盘点登记。</w:t>
      </w:r>
    </w:p>
    <w:p>
      <w:pPr>
        <w:adjustRightInd w:val="0"/>
        <w:snapToGrid w:val="0"/>
        <w:spacing w:line="600" w:lineRule="exact"/>
        <w:ind w:firstLine="640" w:firstLineChars="200"/>
        <w:rPr>
          <w:rFonts w:ascii="仿宋_GB2312" w:hAnsi="宋体"/>
          <w:color w:val="000000" w:themeColor="text1"/>
          <w:lang w:val="zh-CN"/>
          <w14:textFill>
            <w14:solidFill>
              <w14:schemeClr w14:val="tx1"/>
            </w14:solidFill>
          </w14:textFill>
        </w:rPr>
      </w:pPr>
      <w:r>
        <w:rPr>
          <w:rFonts w:hint="eastAsia" w:ascii="黑体" w:hAnsi="宋体" w:eastAsia="黑体"/>
          <w:color w:val="000000" w:themeColor="text1"/>
          <w14:textFill>
            <w14:solidFill>
              <w14:schemeClr w14:val="tx1"/>
            </w14:solidFill>
          </w14:textFill>
        </w:rPr>
        <w:t>三、绩效分析</w:t>
      </w:r>
      <w:r>
        <w:rPr>
          <w:rFonts w:hint="eastAsia" w:ascii="仿宋_GB2312" w:hAnsi="宋体"/>
          <w:color w:val="000000" w:themeColor="text1"/>
          <w:lang w:val="zh-CN"/>
          <w14:textFill>
            <w14:solidFill>
              <w14:schemeClr w14:val="tx1"/>
            </w14:solidFill>
          </w14:textFill>
        </w:rPr>
        <w:tab/>
      </w:r>
    </w:p>
    <w:p>
      <w:pPr>
        <w:adjustRightInd w:val="0"/>
        <w:snapToGrid w:val="0"/>
        <w:spacing w:line="600" w:lineRule="exact"/>
        <w:ind w:firstLine="640"/>
        <w:rPr>
          <w:rFonts w:ascii="楷体_GB2312" w:hAnsi="宋体" w:eastAsia="楷体_GB2312"/>
          <w:b/>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（一）</w:t>
      </w:r>
      <w:r>
        <w:rPr>
          <w:rFonts w:hint="eastAsia" w:ascii="楷体_GB2312" w:hAnsi="宋体" w:eastAsia="楷体_GB2312"/>
          <w:b/>
          <w:color w:val="000000" w:themeColor="text1"/>
          <w14:textFill>
            <w14:solidFill>
              <w14:schemeClr w14:val="tx1"/>
            </w14:solidFill>
          </w14:textFill>
        </w:rPr>
        <w:t>通用指标</w:t>
      </w:r>
      <w:r>
        <w:rPr>
          <w:rFonts w:eastAsia="楷体_GB2312"/>
          <w:b/>
          <w:bCs/>
          <w:color w:val="000000" w:themeColor="text1"/>
          <w:kern w:val="0"/>
          <w:shd w:val="clear" w:color="auto" w:fill="FFFFFF"/>
          <w:lang w:val="zh-CN"/>
          <w14:textFill>
            <w14:solidFill>
              <w14:schemeClr w14:val="tx1"/>
            </w14:solidFill>
          </w14:textFill>
        </w:rPr>
        <w:t>绩效分析。</w:t>
      </w:r>
    </w:p>
    <w:p>
      <w:pPr>
        <w:adjustRightInd w:val="0"/>
        <w:snapToGrid w:val="0"/>
        <w:spacing w:line="600" w:lineRule="exact"/>
        <w:ind w:firstLine="640"/>
        <w:rPr>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1.项目决策。</w:t>
      </w:r>
      <w:r>
        <w:rPr>
          <w:rFonts w:hint="eastAsia" w:ascii="仿宋_GB2312" w:hAnsi="宋体"/>
          <w:color w:val="000000" w:themeColor="text1"/>
          <w:lang w:val="zh-CN"/>
          <w14:textFill>
            <w14:solidFill>
              <w14:schemeClr w14:val="tx1"/>
            </w14:solidFill>
          </w14:textFill>
        </w:rPr>
        <w:t>严格按照《</w:t>
      </w:r>
      <w:r>
        <w:rPr>
          <w:rFonts w:hint="eastAsia" w:ascii="仿宋_GB2312" w:hAnsi="宋体"/>
          <w:color w:val="000000" w:themeColor="text1"/>
          <w14:textFill>
            <w14:solidFill>
              <w14:schemeClr w14:val="tx1"/>
            </w14:solidFill>
          </w14:textFill>
        </w:rPr>
        <w:t>广元市财政局关于印发广元市市级行政事业单位通用办公设备和家具配置标准</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的通知</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广财办</w:t>
      </w:r>
      <w:r>
        <w:rPr>
          <w:rFonts w:hint="eastAsia" w:ascii="仿宋_GB2312" w:hAnsi="宋体"/>
          <w:color w:val="000000" w:themeColor="text1"/>
          <w:lang w:val="zh-CN"/>
          <w14:textFill>
            <w14:solidFill>
              <w14:schemeClr w14:val="tx1"/>
            </w14:solidFill>
          </w14:textFill>
        </w:rPr>
        <w:t>〔20</w:t>
      </w:r>
      <w:r>
        <w:rPr>
          <w:rFonts w:hint="eastAsia" w:ascii="仿宋_GB2312" w:hAnsi="宋体"/>
          <w:color w:val="000000" w:themeColor="text1"/>
          <w14:textFill>
            <w14:solidFill>
              <w14:schemeClr w14:val="tx1"/>
            </w14:solidFill>
          </w14:textFill>
        </w:rPr>
        <w:t>21</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60号</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文件</w:t>
      </w:r>
      <w:r>
        <w:rPr>
          <w:rFonts w:hint="eastAsia" w:ascii="仿宋_GB2312" w:hAnsi="宋体"/>
          <w:color w:val="000000" w:themeColor="text1"/>
          <w:lang w:val="zh-CN"/>
          <w14:textFill>
            <w14:solidFill>
              <w14:schemeClr w14:val="tx1"/>
            </w14:solidFill>
          </w14:textFill>
        </w:rPr>
        <w:t>相关规定。</w:t>
      </w:r>
      <w:r>
        <w:rPr>
          <w:rFonts w:hint="eastAsia" w:ascii="仿宋_GB2312" w:hAnsi="宋体"/>
          <w:color w:val="000000" w:themeColor="text1"/>
          <w14:textFill>
            <w14:solidFill>
              <w14:schemeClr w14:val="tx1"/>
            </w14:solidFill>
          </w14:textFill>
        </w:rPr>
        <w:t>经市机管局、市财政局审批程序合规。</w:t>
      </w:r>
    </w:p>
    <w:p>
      <w:pPr>
        <w:adjustRightInd w:val="0"/>
        <w:snapToGrid w:val="0"/>
        <w:spacing w:line="600" w:lineRule="exact"/>
        <w:ind w:firstLine="640"/>
        <w:rPr>
          <w:rFonts w:ascii="仿宋_GB2312" w:hAnsi="楷体_GB2312" w:cs="楷体_GB2312"/>
          <w:bCs/>
          <w:color w:val="000000" w:themeColor="text1"/>
          <w:lang w:val="zh-CN"/>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2.项目管理。</w:t>
      </w:r>
      <w:r>
        <w:rPr>
          <w:rFonts w:hint="eastAsia" w:ascii="仿宋_GB2312" w:hAnsi="仿宋_GB2312" w:cs="仿宋_GB2312"/>
          <w:color w:val="000000" w:themeColor="text1"/>
          <w:kern w:val="0"/>
          <w14:textFill>
            <w14:solidFill>
              <w14:schemeClr w14:val="tx1"/>
            </w14:solidFill>
          </w14:textFill>
        </w:rPr>
        <w:t>严格按照《固定资产管理制度》和财政批复要求，按项目进度支付，并主动接受财政、审计部门的监督检查。在资金使用过程中，</w:t>
      </w:r>
      <w:r>
        <w:rPr>
          <w:rFonts w:hint="eastAsia" w:ascii="仿宋_GB2312" w:hAnsi="仿宋_GB2312" w:cs="仿宋_GB2312"/>
          <w:color w:val="000000" w:themeColor="text1"/>
          <w14:textFill>
            <w14:solidFill>
              <w14:schemeClr w14:val="tx1"/>
            </w14:solidFill>
          </w14:textFill>
        </w:rPr>
        <w:t>加强专项资金使用的监督管理，确保专项资金</w:t>
      </w:r>
      <w:r>
        <w:rPr>
          <w:rFonts w:hint="eastAsia" w:ascii="仿宋_GB2312" w:hAnsi="仿宋_GB2312" w:cs="仿宋_GB2312"/>
          <w:bCs/>
          <w:color w:val="000000" w:themeColor="text1"/>
          <w:lang w:val="zh-CN"/>
          <w14:textFill>
            <w14:solidFill>
              <w14:schemeClr w14:val="tx1"/>
            </w14:solidFill>
          </w14:textFill>
        </w:rPr>
        <w:t>支付依据合规合法，财务管理制度、会计核算规范，财务处理及时。</w:t>
      </w:r>
      <w:r>
        <w:rPr>
          <w:rFonts w:hint="eastAsia" w:ascii="仿宋_GB2312" w:hAnsi="仿宋_GB2312"/>
          <w:color w:val="000000" w:themeColor="text1"/>
          <w14:textFill>
            <w14:solidFill>
              <w14:schemeClr w14:val="tx1"/>
            </w14:solidFill>
          </w14:textFill>
        </w:rPr>
        <w:t>固定资产验收合格后办理入库登记手续，财务建账，办公室登记后</w:t>
      </w:r>
      <w:r>
        <w:rPr>
          <w:rFonts w:hint="eastAsia" w:ascii="仿宋_GB2312" w:hAnsi="宋体"/>
          <w:color w:val="000000" w:themeColor="text1"/>
          <w14:textFill>
            <w14:solidFill>
              <w14:schemeClr w14:val="tx1"/>
            </w14:solidFill>
          </w14:textFill>
        </w:rPr>
        <w:t>按程序发放到领用科室</w:t>
      </w:r>
      <w:r>
        <w:rPr>
          <w:rFonts w:hint="eastAsia" w:ascii="仿宋_GB2312" w:hAnsi="仿宋_GB2312"/>
          <w:color w:val="000000" w:themeColor="text1"/>
          <w14:textFill>
            <w14:solidFill>
              <w14:schemeClr w14:val="tx1"/>
            </w14:solidFill>
          </w14:textFill>
        </w:rPr>
        <w:t>。</w:t>
      </w:r>
    </w:p>
    <w:p>
      <w:pPr>
        <w:adjustRightInd w:val="0"/>
        <w:snapToGrid w:val="0"/>
        <w:spacing w:line="600" w:lineRule="exact"/>
        <w:ind w:firstLine="640"/>
        <w:rPr>
          <w:rFonts w:ascii="仿宋_GB2312" w:hAnsi="宋体"/>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3.项目实施。</w:t>
      </w:r>
      <w:r>
        <w:rPr>
          <w:rFonts w:hint="eastAsia" w:ascii="仿宋_GB2312" w:hAnsi="仿宋_GB2312"/>
          <w:color w:val="000000" w:themeColor="text1"/>
          <w14:textFill>
            <w14:solidFill>
              <w14:schemeClr w14:val="tx1"/>
            </w14:solidFill>
          </w14:textFill>
        </w:rPr>
        <w:t>预算申报、</w:t>
      </w:r>
      <w:r>
        <w:rPr>
          <w:rFonts w:hint="eastAsia"/>
          <w:color w:val="000000" w:themeColor="text1"/>
          <w14:textFill>
            <w14:solidFill>
              <w14:schemeClr w14:val="tx1"/>
            </w14:solidFill>
          </w14:textFill>
        </w:rPr>
        <w:t>预算</w:t>
      </w:r>
      <w:r>
        <w:rPr>
          <w:rFonts w:hint="eastAsia"/>
          <w:color w:val="000000" w:themeColor="text1"/>
          <w:lang w:val="zh-CN"/>
          <w14:textFill>
            <w14:solidFill>
              <w14:schemeClr w14:val="tx1"/>
            </w14:solidFill>
          </w14:textFill>
        </w:rPr>
        <w:t>执行</w:t>
      </w:r>
      <w:r>
        <w:rPr>
          <w:rFonts w:hint="eastAsia" w:ascii="仿宋_GB2312" w:hAnsi="宋体"/>
          <w:color w:val="000000" w:themeColor="text1"/>
          <w14:textFill>
            <w14:solidFill>
              <w14:schemeClr w14:val="tx1"/>
            </w14:solidFill>
          </w14:textFill>
        </w:rPr>
        <w:t>经市机管局、市财政局审批程序合规。</w:t>
      </w:r>
      <w:r>
        <w:rPr>
          <w:rFonts w:hint="eastAsia" w:ascii="仿宋_GB2312" w:hAnsi="宋体"/>
          <w:color w:val="000000" w:themeColor="text1"/>
          <w:lang w:val="zh-CN"/>
          <w14:textFill>
            <w14:solidFill>
              <w14:schemeClr w14:val="tx1"/>
            </w14:solidFill>
          </w14:textFill>
        </w:rPr>
        <w:t>项目资金到位后，严格按照《</w:t>
      </w:r>
      <w:r>
        <w:rPr>
          <w:rFonts w:hint="eastAsia" w:ascii="仿宋_GB2312" w:hAnsi="宋体"/>
          <w:color w:val="000000" w:themeColor="text1"/>
          <w14:textFill>
            <w14:solidFill>
              <w14:schemeClr w14:val="tx1"/>
            </w14:solidFill>
          </w14:textFill>
        </w:rPr>
        <w:t>广元市财政局关于印发广元市市级行政事业单位通用办公设备和家具配置标准</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的通知</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广财办</w:t>
      </w:r>
      <w:r>
        <w:rPr>
          <w:rFonts w:hint="eastAsia" w:ascii="仿宋_GB2312" w:hAnsi="宋体"/>
          <w:color w:val="000000" w:themeColor="text1"/>
          <w:lang w:val="zh-CN"/>
          <w14:textFill>
            <w14:solidFill>
              <w14:schemeClr w14:val="tx1"/>
            </w14:solidFill>
          </w14:textFill>
        </w:rPr>
        <w:t>〔20</w:t>
      </w:r>
      <w:r>
        <w:rPr>
          <w:rFonts w:hint="eastAsia" w:ascii="仿宋_GB2312" w:hAnsi="宋体"/>
          <w:color w:val="000000" w:themeColor="text1"/>
          <w14:textFill>
            <w14:solidFill>
              <w14:schemeClr w14:val="tx1"/>
            </w14:solidFill>
          </w14:textFill>
        </w:rPr>
        <w:t>21</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60号</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文件</w:t>
      </w:r>
      <w:r>
        <w:rPr>
          <w:rFonts w:hint="eastAsia" w:ascii="仿宋_GB2312" w:hAnsi="宋体"/>
          <w:color w:val="000000" w:themeColor="text1"/>
          <w:lang w:val="zh-CN"/>
          <w14:textFill>
            <w14:solidFill>
              <w14:schemeClr w14:val="tx1"/>
            </w14:solidFill>
          </w14:textFill>
        </w:rPr>
        <w:t>相关规定，</w:t>
      </w:r>
      <w:r>
        <w:rPr>
          <w:rFonts w:hint="eastAsia" w:ascii="仿宋_GB2312" w:hAnsi="宋体"/>
          <w:color w:val="000000" w:themeColor="text1"/>
          <w14:textFill>
            <w14:solidFill>
              <w14:schemeClr w14:val="tx1"/>
            </w14:solidFill>
          </w14:textFill>
        </w:rPr>
        <w:t>我单位实际购买复印机机1台，使用该项目资金2.79万元。遵循相关财务制度和采购流程进行采购，</w:t>
      </w:r>
      <w:r>
        <w:rPr>
          <w:rFonts w:hint="eastAsia" w:ascii="仿宋_GB2312" w:hAnsi="宋体"/>
          <w:color w:val="000000" w:themeColor="text1"/>
          <w:lang w:val="zh-CN"/>
          <w14:textFill>
            <w14:solidFill>
              <w14:schemeClr w14:val="tx1"/>
            </w14:solidFill>
          </w14:textFill>
        </w:rPr>
        <w:t>该项目支出无截留、挤占、挪用的现象。</w:t>
      </w:r>
      <w:r>
        <w:rPr>
          <w:rFonts w:hint="eastAsia" w:ascii="仿宋_GB2312" w:hAnsi="宋体"/>
          <w:color w:val="000000" w:themeColor="text1"/>
          <w14:textFill>
            <w14:solidFill>
              <w14:schemeClr w14:val="tx1"/>
            </w14:solidFill>
          </w14:textFill>
        </w:rPr>
        <w:t>该项目资金来源主要为财政资金，筹资渠道符合法律法规定，筹资结构合理，资金来源渠道明确，各渠道资金到位时间及时。采购办公设施设备验收合格。调剂非采购目录程序合规。</w:t>
      </w:r>
    </w:p>
    <w:p>
      <w:pPr>
        <w:adjustRightInd w:val="0"/>
        <w:snapToGrid w:val="0"/>
        <w:spacing w:line="600" w:lineRule="exact"/>
        <w:ind w:firstLine="640"/>
        <w:rPr>
          <w:rFonts w:ascii="仿宋_GB2312" w:hAnsi="宋体"/>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4.项目结果。</w:t>
      </w:r>
      <w:r>
        <w:rPr>
          <w:rFonts w:hint="eastAsia" w:ascii="仿宋_GB2312" w:hAnsi="宋体"/>
          <w:color w:val="000000" w:themeColor="text1"/>
          <w:lang w:val="zh-CN"/>
          <w14:textFill>
            <w14:solidFill>
              <w14:schemeClr w14:val="tx1"/>
            </w14:solidFill>
          </w14:textFill>
        </w:rPr>
        <w:t>该项目专用资金用于我</w:t>
      </w:r>
      <w:r>
        <w:rPr>
          <w:rFonts w:hint="eastAsia" w:ascii="仿宋_GB2312" w:hAnsi="宋体"/>
          <w:color w:val="000000" w:themeColor="text1"/>
          <w14:textFill>
            <w14:solidFill>
              <w14:schemeClr w14:val="tx1"/>
            </w14:solidFill>
          </w14:textFill>
        </w:rPr>
        <w:t>单位购置办公设备</w:t>
      </w:r>
      <w:r>
        <w:rPr>
          <w:rFonts w:hint="eastAsia" w:ascii="仿宋_GB2312" w:hAnsi="宋体"/>
          <w:color w:val="000000" w:themeColor="text1"/>
          <w:lang w:val="zh-CN"/>
          <w14:textFill>
            <w14:solidFill>
              <w14:schemeClr w14:val="tx1"/>
            </w14:solidFill>
          </w14:textFill>
        </w:rPr>
        <w:t>，项目所申报内容与实际</w:t>
      </w:r>
      <w:r>
        <w:rPr>
          <w:rFonts w:hint="eastAsia" w:ascii="仿宋_GB2312" w:hAnsi="宋体"/>
          <w:color w:val="000000" w:themeColor="text1"/>
          <w14:textFill>
            <w14:solidFill>
              <w14:schemeClr w14:val="tx1"/>
            </w14:solidFill>
          </w14:textFill>
        </w:rPr>
        <w:t>购置</w:t>
      </w:r>
      <w:r>
        <w:rPr>
          <w:rFonts w:hint="eastAsia" w:ascii="仿宋_GB2312" w:hAnsi="宋体"/>
          <w:color w:val="000000" w:themeColor="text1"/>
          <w:lang w:val="zh-CN"/>
          <w14:textFill>
            <w14:solidFill>
              <w14:schemeClr w14:val="tx1"/>
            </w14:solidFill>
          </w14:textFill>
        </w:rPr>
        <w:t>相符，申报目标合理可行。</w:t>
      </w:r>
    </w:p>
    <w:p>
      <w:pPr>
        <w:adjustRightInd w:val="0"/>
        <w:snapToGrid w:val="0"/>
        <w:spacing w:line="600" w:lineRule="exact"/>
        <w:ind w:firstLine="642" w:firstLineChars="200"/>
        <w:rPr>
          <w:rFonts w:ascii="仿宋_GB2312" w:hAnsi="宋体"/>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（二）</w:t>
      </w:r>
      <w:r>
        <w:rPr>
          <w:rFonts w:hint="eastAsia" w:ascii="楷体_GB2312" w:hAnsi="宋体" w:eastAsia="楷体_GB2312"/>
          <w:b/>
          <w:color w:val="000000" w:themeColor="text1"/>
          <w14:textFill>
            <w14:solidFill>
              <w14:schemeClr w14:val="tx1"/>
            </w14:solidFill>
          </w14:textFill>
        </w:rPr>
        <w:t>专用指标</w:t>
      </w:r>
      <w:r>
        <w:rPr>
          <w:rFonts w:eastAsia="楷体_GB2312"/>
          <w:b/>
          <w:bCs/>
          <w:color w:val="000000" w:themeColor="text1"/>
          <w:kern w:val="0"/>
          <w:shd w:val="clear" w:color="auto" w:fill="FFFFFF"/>
          <w:lang w:val="zh-CN"/>
          <w14:textFill>
            <w14:solidFill>
              <w14:schemeClr w14:val="tx1"/>
            </w14:solidFill>
          </w14:textFill>
        </w:rPr>
        <w:t>绩效分析。</w:t>
      </w:r>
    </w:p>
    <w:p>
      <w:pPr>
        <w:adjustRightInd w:val="0"/>
        <w:snapToGrid w:val="0"/>
        <w:spacing w:line="600" w:lineRule="exact"/>
        <w:ind w:firstLine="640"/>
        <w:rPr>
          <w:rFonts w:ascii="仿宋_GB2312" w:hAnsi="宋体"/>
          <w:color w:val="000000" w:themeColor="text1"/>
          <w14:textFill>
            <w14:solidFill>
              <w14:schemeClr w14:val="tx1"/>
            </w14:solidFill>
          </w14:textFill>
        </w:rPr>
      </w:pPr>
      <w:r>
        <w:rPr>
          <w:rFonts w:hint="eastAsia" w:ascii="仿宋_GB2312" w:hAnsi="宋体"/>
          <w:color w:val="000000" w:themeColor="text1"/>
          <w14:textFill>
            <w14:solidFill>
              <w14:schemeClr w14:val="tx1"/>
            </w14:solidFill>
          </w14:textFill>
        </w:rPr>
        <w:t>我单位实际购买复印机机1台，使用该项目资金2.79万元。使用对象满意度100%。采购金额2.79万元未超预算执行，采购合格率达100%，采购办公设备均可使用至6年以上报废年限。采购验收合格率达100%，采购办公设备均可使用至报废年限。</w:t>
      </w:r>
    </w:p>
    <w:p>
      <w:pPr>
        <w:adjustRightInd w:val="0"/>
        <w:snapToGrid w:val="0"/>
        <w:spacing w:line="600" w:lineRule="exact"/>
        <w:ind w:firstLine="640"/>
        <w:rPr>
          <w:rFonts w:ascii="仿宋" w:hAnsi="仿宋"/>
          <w:color w:val="000000" w:themeColor="text1"/>
          <w:sz w:val="30"/>
          <w:szCs w:val="30"/>
          <w14:textFill>
            <w14:solidFill>
              <w14:schemeClr w14:val="tx1"/>
            </w14:solidFill>
          </w14:textFill>
        </w:rPr>
      </w:pPr>
      <w:r>
        <w:rPr>
          <w:rFonts w:hint="eastAsia" w:ascii="仿宋_GB2312" w:hAnsi="宋体"/>
          <w:color w:val="000000" w:themeColor="text1"/>
          <w14:textFill>
            <w14:solidFill>
              <w14:schemeClr w14:val="tx1"/>
            </w14:solidFill>
          </w14:textFill>
        </w:rPr>
        <w:t>保障</w:t>
      </w:r>
      <w:r>
        <w:rPr>
          <w:rFonts w:hint="eastAsia"/>
          <w:color w:val="000000" w:themeColor="text1"/>
          <w:lang w:val="zh-CN"/>
          <w14:textFill>
            <w14:solidFill>
              <w14:schemeClr w14:val="tx1"/>
            </w14:solidFill>
          </w14:textFill>
        </w:rPr>
        <w:t>机关办公运行良好，</w:t>
      </w:r>
      <w:r>
        <w:rPr>
          <w:rFonts w:hint="eastAsia" w:ascii="仿宋_GB2312" w:hAnsi="宋体"/>
          <w:color w:val="000000" w:themeColor="text1"/>
          <w14:textFill>
            <w14:solidFill>
              <w14:schemeClr w14:val="tx1"/>
            </w14:solidFill>
          </w14:textFill>
        </w:rPr>
        <w:t>办公效率和办公质量。</w:t>
      </w:r>
      <w:r>
        <w:rPr>
          <w:rFonts w:hint="eastAsia" w:ascii="仿宋_GB2312" w:hAnsi="宋体"/>
          <w:color w:val="000000" w:themeColor="text1"/>
          <w:lang w:val="zh-CN"/>
          <w14:textFill>
            <w14:solidFill>
              <w14:schemeClr w14:val="tx1"/>
            </w14:solidFill>
          </w14:textFill>
        </w:rPr>
        <w:t>严格按照《</w:t>
      </w:r>
      <w:r>
        <w:rPr>
          <w:rFonts w:hint="eastAsia" w:ascii="仿宋_GB2312" w:hAnsi="宋体"/>
          <w:color w:val="000000" w:themeColor="text1"/>
          <w14:textFill>
            <w14:solidFill>
              <w14:schemeClr w14:val="tx1"/>
            </w14:solidFill>
          </w14:textFill>
        </w:rPr>
        <w:t>广元市财政局关于印发广元市市级行政事业单位通用办公设备和家具配置标准</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的通知</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广财办</w:t>
      </w:r>
      <w:r>
        <w:rPr>
          <w:rFonts w:hint="eastAsia" w:ascii="仿宋_GB2312" w:hAnsi="宋体"/>
          <w:color w:val="000000" w:themeColor="text1"/>
          <w:lang w:val="zh-CN"/>
          <w14:textFill>
            <w14:solidFill>
              <w14:schemeClr w14:val="tx1"/>
            </w14:solidFill>
          </w14:textFill>
        </w:rPr>
        <w:t>〔20</w:t>
      </w:r>
      <w:r>
        <w:rPr>
          <w:rFonts w:hint="eastAsia" w:ascii="仿宋_GB2312" w:hAnsi="宋体"/>
          <w:color w:val="000000" w:themeColor="text1"/>
          <w14:textFill>
            <w14:solidFill>
              <w14:schemeClr w14:val="tx1"/>
            </w14:solidFill>
          </w14:textFill>
        </w:rPr>
        <w:t>21</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60号</w:t>
      </w:r>
      <w:r>
        <w:rPr>
          <w:rFonts w:hint="eastAsia" w:ascii="仿宋_GB2312" w:hAnsi="宋体"/>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文件</w:t>
      </w:r>
      <w:r>
        <w:rPr>
          <w:rFonts w:hint="eastAsia" w:ascii="仿宋_GB2312" w:hAnsi="宋体"/>
          <w:color w:val="000000" w:themeColor="text1"/>
          <w:lang w:val="zh-CN"/>
          <w14:textFill>
            <w14:solidFill>
              <w14:schemeClr w14:val="tx1"/>
            </w14:solidFill>
          </w14:textFill>
        </w:rPr>
        <w:t>相关规定。</w:t>
      </w:r>
      <w:r>
        <w:rPr>
          <w:rFonts w:hint="eastAsia" w:ascii="仿宋_GB2312" w:hAnsi="宋体"/>
          <w:color w:val="000000" w:themeColor="text1"/>
          <w14:textFill>
            <w14:solidFill>
              <w14:schemeClr w14:val="tx1"/>
            </w14:solidFill>
          </w14:textFill>
        </w:rPr>
        <w:t>经市机管局、市财政局审批程序合规。</w:t>
      </w:r>
    </w:p>
    <w:p>
      <w:pPr>
        <w:adjustRightInd w:val="0"/>
        <w:snapToGrid w:val="0"/>
        <w:spacing w:line="600" w:lineRule="exact"/>
        <w:ind w:firstLine="640"/>
        <w:rPr>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（三）</w:t>
      </w:r>
      <w:r>
        <w:rPr>
          <w:rFonts w:hint="eastAsia" w:ascii="楷体_GB2312" w:hAnsi="宋体" w:eastAsia="楷体_GB2312"/>
          <w:b/>
          <w:color w:val="000000" w:themeColor="text1"/>
          <w14:textFill>
            <w14:solidFill>
              <w14:schemeClr w14:val="tx1"/>
            </w14:solidFill>
          </w14:textFill>
        </w:rPr>
        <w:t>个性指标</w:t>
      </w:r>
      <w:r>
        <w:rPr>
          <w:rFonts w:eastAsia="楷体_GB2312"/>
          <w:b/>
          <w:bCs/>
          <w:color w:val="000000" w:themeColor="text1"/>
          <w:kern w:val="0"/>
          <w:shd w:val="clear" w:color="auto" w:fill="FFFFFF"/>
          <w:lang w:val="zh-CN"/>
          <w14:textFill>
            <w14:solidFill>
              <w14:schemeClr w14:val="tx1"/>
            </w14:solidFill>
          </w14:textFill>
        </w:rPr>
        <w:t>绩效分析。</w:t>
      </w:r>
      <w:r>
        <w:rPr>
          <w:rFonts w:hint="eastAsia" w:ascii="仿宋_GB2312" w:hAnsi="宋体"/>
          <w:color w:val="000000" w:themeColor="text1"/>
          <w:lang w:val="zh-CN"/>
          <w14:textFill>
            <w14:solidFill>
              <w14:schemeClr w14:val="tx1"/>
            </w14:solidFill>
          </w14:textFill>
        </w:rPr>
        <w:t>2023年度内完成采购1台复印机，使用专项资金2.79万元。</w:t>
      </w:r>
    </w:p>
    <w:p>
      <w:pPr>
        <w:adjustRightInd w:val="0"/>
        <w:snapToGrid w:val="0"/>
        <w:spacing w:line="600" w:lineRule="exact"/>
        <w:ind w:firstLine="640"/>
        <w:rPr>
          <w:rFonts w:ascii="黑体" w:hAnsi="黑体" w:eastAsia="黑体" w:cs="黑体"/>
          <w:bCs/>
          <w:color w:val="000000" w:themeColor="text1"/>
          <w14:textFill>
            <w14:solidFill>
              <w14:schemeClr w14:val="tx1"/>
            </w14:solidFill>
          </w14:textFill>
        </w:rPr>
      </w:pPr>
      <w:r>
        <w:rPr>
          <w:rFonts w:hint="eastAsia" w:ascii="黑体" w:hAnsi="黑体" w:eastAsia="黑体" w:cs="黑体"/>
          <w:bCs/>
          <w:color w:val="000000" w:themeColor="text1"/>
          <w14:textFill>
            <w14:solidFill>
              <w14:schemeClr w14:val="tx1"/>
            </w14:solidFill>
          </w14:textFill>
        </w:rPr>
        <w:t>四、评价结论</w:t>
      </w:r>
    </w:p>
    <w:p>
      <w:pPr>
        <w:adjustRightInd w:val="0"/>
        <w:snapToGrid w:val="0"/>
        <w:spacing w:line="600" w:lineRule="exact"/>
        <w:ind w:firstLine="640"/>
        <w:rPr>
          <w:rFonts w:ascii="仿宋" w:hAnsi="仿宋"/>
          <w:color w:val="000000" w:themeColor="text1"/>
          <w:sz w:val="30"/>
          <w:szCs w:val="30"/>
          <w14:textFill>
            <w14:solidFill>
              <w14:schemeClr w14:val="tx1"/>
            </w14:solidFill>
          </w14:textFill>
        </w:rPr>
      </w:pPr>
      <w:r>
        <w:rPr>
          <w:rFonts w:hint="eastAsia" w:ascii="仿宋_GB2312"/>
          <w:color w:val="000000" w:themeColor="text1"/>
          <w14:textFill>
            <w14:solidFill>
              <w14:schemeClr w14:val="tx1"/>
            </w14:solidFill>
          </w14:textFill>
        </w:rPr>
        <w:t>部门自评预算执行得分10分，绩效指标得分90分，项目自评得分100分。</w:t>
      </w:r>
      <w:r>
        <w:rPr>
          <w:rFonts w:hint="eastAsia" w:ascii="仿宋_GB2312" w:hAnsi="宋体"/>
          <w:color w:val="000000" w:themeColor="text1"/>
          <w:lang w:val="zh-CN"/>
          <w14:textFill>
            <w14:solidFill>
              <w14:schemeClr w14:val="tx1"/>
            </w14:solidFill>
          </w14:textFill>
        </w:rPr>
        <w:t>完成年初批复的项目</w:t>
      </w:r>
      <w:r>
        <w:rPr>
          <w:rFonts w:hint="eastAsia" w:ascii="仿宋_GB2312" w:hAnsi="宋体"/>
          <w:color w:val="000000" w:themeColor="text1"/>
          <w14:textFill>
            <w14:solidFill>
              <w14:schemeClr w14:val="tx1"/>
            </w14:solidFill>
          </w14:textFill>
        </w:rPr>
        <w:t>购买复印机1台，采购成本为2.79万元；采购复印机合格率均达到100%；在2023年12月31日前均已购买到位。</w:t>
      </w:r>
    </w:p>
    <w:p>
      <w:pPr>
        <w:pStyle w:val="2"/>
        <w:adjustRightInd w:val="0"/>
        <w:snapToGrid w:val="0"/>
        <w:spacing w:before="93" w:line="6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五、存在主要问题</w:t>
      </w:r>
    </w:p>
    <w:p>
      <w:pPr>
        <w:adjustRightInd w:val="0"/>
        <w:snapToGrid w:val="0"/>
        <w:spacing w:line="600" w:lineRule="exact"/>
        <w:ind w:firstLine="480" w:firstLineChars="150"/>
        <w:rPr>
          <w:rFonts w:ascii="仿宋_GB2312" w:hAnsi="仿宋_GB2312" w:cs="仿宋_GB2312"/>
          <w:color w:val="000000" w:themeColor="text1"/>
          <w14:textFill>
            <w14:solidFill>
              <w14:schemeClr w14:val="tx1"/>
            </w14:solidFill>
          </w14:textFill>
        </w:rPr>
      </w:pPr>
      <w:r>
        <w:rPr>
          <w:rFonts w:hint="eastAsia" w:ascii="仿宋_GB2312" w:hAnsi="仿宋_GB2312" w:cs="仿宋_GB2312"/>
          <w:color w:val="000000" w:themeColor="text1"/>
          <w14:textFill>
            <w14:solidFill>
              <w14:schemeClr w14:val="tx1"/>
            </w14:solidFill>
          </w14:textFill>
        </w:rPr>
        <w:t>提升预算绩效管理水平，提高预算精准度。</w:t>
      </w:r>
    </w:p>
    <w:p>
      <w:pPr>
        <w:pStyle w:val="2"/>
        <w:adjustRightInd w:val="0"/>
        <w:snapToGrid w:val="0"/>
        <w:spacing w:before="93" w:line="6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六、改进建议</w:t>
      </w:r>
    </w:p>
    <w:p>
      <w:pPr>
        <w:adjustRightInd w:val="0"/>
        <w:snapToGrid w:val="0"/>
        <w:spacing w:line="600" w:lineRule="exact"/>
        <w:ind w:firstLine="640"/>
        <w:rPr>
          <w:rFonts w:ascii="仿宋_GB2312" w:hAnsi="仿宋_GB2312" w:cs="仿宋_GB2312"/>
          <w:color w:val="000000" w:themeColor="text1"/>
          <w14:textFill>
            <w14:solidFill>
              <w14:schemeClr w14:val="tx1"/>
            </w14:solidFill>
          </w14:textFill>
        </w:rPr>
      </w:pPr>
      <w:r>
        <w:rPr>
          <w:rFonts w:hint="eastAsia" w:ascii="仿宋_GB2312" w:hAnsi="仿宋_GB2312" w:cs="仿宋_GB2312"/>
          <w:color w:val="000000" w:themeColor="text1"/>
          <w:kern w:val="0"/>
          <w14:textFill>
            <w14:solidFill>
              <w14:schemeClr w14:val="tx1"/>
            </w14:solidFill>
          </w14:textFill>
        </w:rPr>
        <w:t>按照财政绩效管理要求编报预算项目绩效目标，绩效目标真实、可行、科学。从自评情况来看，中心完成了年初设定的绩效目标，达到了预期目标。同时也要</w:t>
      </w:r>
      <w:r>
        <w:rPr>
          <w:rFonts w:hint="eastAsia" w:ascii="仿宋_GB2312" w:hAnsi="仿宋_GB2312" w:cs="仿宋_GB2312"/>
          <w:color w:val="000000" w:themeColor="text1"/>
          <w14:textFill>
            <w14:solidFill>
              <w14:schemeClr w14:val="tx1"/>
            </w14:solidFill>
          </w14:textFill>
        </w:rPr>
        <w:t>强化绩效意识，关注政府采购资产购置相关政策变化，提高财政资金使用效益作用。</w:t>
      </w: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38"/>
        <w:adjustRightInd w:val="0"/>
        <w:snapToGrid w:val="0"/>
        <w:spacing w:line="600" w:lineRule="exact"/>
        <w:jc w:val="center"/>
        <w:rPr>
          <w:rFonts w:ascii="方正小标宋简体" w:hAnsi="新宋体" w:eastAsia="方正小标宋简体" w:cs="方正小标宋简体"/>
          <w:color w:val="000000" w:themeColor="text1"/>
          <w:sz w:val="44"/>
          <w:szCs w:val="44"/>
          <w14:textFill>
            <w14:solidFill>
              <w14:schemeClr w14:val="tx1"/>
            </w14:solidFill>
          </w14:textFill>
        </w:rPr>
      </w:pPr>
      <w:r>
        <w:rPr>
          <w:rFonts w:hint="eastAsia" w:ascii="方正小标宋简体" w:hAnsi="新宋体" w:eastAsia="方正小标宋简体" w:cs="方正小标宋简体"/>
          <w:color w:val="000000" w:themeColor="text1"/>
          <w:sz w:val="44"/>
          <w:szCs w:val="44"/>
          <w14:textFill>
            <w14:solidFill>
              <w14:schemeClr w14:val="tx1"/>
            </w14:solidFill>
          </w14:textFill>
        </w:rPr>
        <w:t>2023年</w:t>
      </w:r>
      <w:r>
        <w:rPr>
          <w:rFonts w:hint="eastAsia" w:ascii="方正小标宋简体" w:hAnsi="新宋体" w:eastAsia="方正小标宋简体" w:cs="方正小标宋简体"/>
          <w:color w:val="000000" w:themeColor="text1"/>
          <w:sz w:val="44"/>
          <w:szCs w:val="44"/>
          <w:shd w:val="clear" w:color="auto" w:fill="FFFFFF"/>
          <w14:textFill>
            <w14:solidFill>
              <w14:schemeClr w14:val="tx1"/>
            </w14:solidFill>
          </w14:textFill>
        </w:rPr>
        <w:t>市级专项资金预算</w:t>
      </w:r>
      <w:r>
        <w:rPr>
          <w:rFonts w:hint="eastAsia" w:ascii="方正小标宋简体" w:hAnsi="新宋体" w:eastAsia="方正小标宋简体" w:cs="方正小标宋简体"/>
          <w:color w:val="000000" w:themeColor="text1"/>
          <w:sz w:val="44"/>
          <w:szCs w:val="44"/>
          <w14:textFill>
            <w14:solidFill>
              <w14:schemeClr w14:val="tx1"/>
            </w14:solidFill>
          </w14:textFill>
        </w:rPr>
        <w:t>项目支出绩效</w:t>
      </w:r>
    </w:p>
    <w:p>
      <w:pPr>
        <w:pStyle w:val="38"/>
        <w:adjustRightInd w:val="0"/>
        <w:snapToGrid w:val="0"/>
        <w:spacing w:line="600" w:lineRule="exact"/>
        <w:jc w:val="center"/>
        <w:rPr>
          <w:rFonts w:ascii="方正小标宋简体" w:hAnsi="新宋体" w:eastAsia="方正小标宋简体" w:cs="方正小标宋简体"/>
          <w:color w:val="000000" w:themeColor="text1"/>
          <w:sz w:val="44"/>
          <w:szCs w:val="44"/>
          <w14:textFill>
            <w14:solidFill>
              <w14:schemeClr w14:val="tx1"/>
            </w14:solidFill>
          </w14:textFill>
        </w:rPr>
      </w:pPr>
      <w:r>
        <w:rPr>
          <w:rFonts w:hint="eastAsia" w:ascii="方正小标宋简体" w:hAnsi="新宋体" w:eastAsia="方正小标宋简体" w:cs="方正小标宋简体"/>
          <w:color w:val="000000" w:themeColor="text1"/>
          <w:sz w:val="44"/>
          <w:szCs w:val="44"/>
          <w14:textFill>
            <w14:solidFill>
              <w14:schemeClr w14:val="tx1"/>
            </w14:solidFill>
          </w14:textFill>
        </w:rPr>
        <w:t>自评报告</w:t>
      </w:r>
    </w:p>
    <w:p>
      <w:pPr>
        <w:adjustRightInd w:val="0"/>
        <w:snapToGrid w:val="0"/>
        <w:spacing w:line="600" w:lineRule="exact"/>
        <w:jc w:val="center"/>
        <w:rPr>
          <w:rFonts w:ascii="楷体_GB2312" w:hAnsi="楷体_GB2312" w:eastAsia="楷体_GB2312" w:cs="楷体_GB2312"/>
          <w:color w:val="000000" w:themeColor="text1"/>
          <w:szCs w:val="32"/>
          <w14:textFill>
            <w14:solidFill>
              <w14:schemeClr w14:val="tx1"/>
            </w14:solidFill>
          </w14:textFill>
        </w:rPr>
      </w:pPr>
      <w:r>
        <w:rPr>
          <w:rFonts w:hint="eastAsia" w:ascii="楷体_GB2312" w:hAnsi="楷体_GB2312" w:eastAsia="楷体_GB2312" w:cs="楷体_GB2312"/>
          <w:color w:val="000000" w:themeColor="text1"/>
          <w:szCs w:val="32"/>
          <w14:textFill>
            <w14:solidFill>
              <w14:schemeClr w14:val="tx1"/>
            </w14:solidFill>
          </w14:textFill>
        </w:rPr>
        <w:t>（</w:t>
      </w:r>
      <w:r>
        <w:rPr>
          <w:rFonts w:hint="eastAsia" w:ascii="楷体_GB2312" w:eastAsia="楷体_GB2312"/>
          <w:color w:val="000000" w:themeColor="text1"/>
          <w:szCs w:val="32"/>
          <w14:textFill>
            <w14:solidFill>
              <w14:schemeClr w14:val="tx1"/>
            </w14:solidFill>
          </w14:textFill>
        </w:rPr>
        <w:t>资产运行管理费项目</w:t>
      </w:r>
      <w:r>
        <w:rPr>
          <w:rFonts w:hint="eastAsia" w:ascii="楷体_GB2312" w:hAnsi="楷体_GB2312" w:eastAsia="楷体_GB2312" w:cs="楷体_GB2312"/>
          <w:color w:val="000000" w:themeColor="text1"/>
          <w:szCs w:val="32"/>
          <w14:textFill>
            <w14:solidFill>
              <w14:schemeClr w14:val="tx1"/>
            </w14:solidFill>
          </w14:textFill>
        </w:rPr>
        <w:t>）</w:t>
      </w:r>
    </w:p>
    <w:p>
      <w:pPr>
        <w:adjustRightInd w:val="0"/>
        <w:snapToGrid w:val="0"/>
        <w:spacing w:line="600" w:lineRule="exact"/>
        <w:jc w:val="center"/>
        <w:rPr>
          <w:rFonts w:ascii="楷体_GB2312" w:hAnsi="楷体_GB2312" w:eastAsia="楷体_GB2312" w:cs="楷体_GB2312"/>
          <w:color w:val="000000" w:themeColor="text1"/>
          <w:szCs w:val="32"/>
          <w14:textFill>
            <w14:solidFill>
              <w14:schemeClr w14:val="tx1"/>
            </w14:solidFill>
          </w14:textFill>
        </w:rPr>
      </w:pPr>
    </w:p>
    <w:p>
      <w:pPr>
        <w:numPr>
          <w:ilvl w:val="0"/>
          <w:numId w:val="8"/>
        </w:numPr>
        <w:adjustRightInd w:val="0"/>
        <w:snapToGrid w:val="0"/>
        <w:spacing w:line="600" w:lineRule="exact"/>
        <w:ind w:left="1360" w:hanging="720"/>
        <w:rPr>
          <w:rFonts w:ascii="黑体" w:hAnsi="宋体" w:eastAsia="黑体"/>
          <w:color w:val="000000" w:themeColor="text1"/>
          <w:szCs w:val="32"/>
          <w:lang w:val="zh-CN"/>
          <w14:textFill>
            <w14:solidFill>
              <w14:schemeClr w14:val="tx1"/>
            </w14:solidFill>
          </w14:textFill>
        </w:rPr>
      </w:pPr>
      <w:r>
        <w:rPr>
          <w:rFonts w:hint="eastAsia" w:ascii="黑体" w:hAnsi="宋体" w:eastAsia="黑体"/>
          <w:color w:val="000000" w:themeColor="text1"/>
          <w:szCs w:val="32"/>
          <w:lang w:val="zh-CN"/>
          <w14:textFill>
            <w14:solidFill>
              <w14:schemeClr w14:val="tx1"/>
            </w14:solidFill>
          </w14:textFill>
        </w:rPr>
        <w:t>项目概况</w:t>
      </w:r>
    </w:p>
    <w:p>
      <w:pPr>
        <w:adjustRightInd w:val="0"/>
        <w:snapToGrid w:val="0"/>
        <w:spacing w:line="600" w:lineRule="exact"/>
        <w:ind w:firstLine="643"/>
        <w:rPr>
          <w:rFonts w:ascii="楷体_GB2312" w:hAnsi="楷体_GB2312" w:eastAsia="楷体_GB2312" w:cs="楷体_GB2312"/>
          <w:b/>
          <w:bCs/>
          <w:color w:val="000000" w:themeColor="text1"/>
          <w:szCs w:val="32"/>
          <w:lang w:val="zh-CN"/>
          <w14:textFill>
            <w14:solidFill>
              <w14:schemeClr w14:val="tx1"/>
            </w14:solidFill>
          </w14:textFill>
        </w:rPr>
      </w:pPr>
      <w:r>
        <w:rPr>
          <w:rFonts w:hint="eastAsia" w:ascii="楷体_GB2312" w:hAnsi="楷体_GB2312" w:eastAsia="楷体_GB2312" w:cs="楷体_GB2312"/>
          <w:b/>
          <w:bCs/>
          <w:color w:val="000000" w:themeColor="text1"/>
          <w:szCs w:val="32"/>
          <w:lang w:val="zh-CN"/>
          <w14:textFill>
            <w14:solidFill>
              <w14:schemeClr w14:val="tx1"/>
            </w14:solidFill>
          </w14:textFill>
        </w:rPr>
        <w:t>（一）项目设立背景及基本情况。</w:t>
      </w:r>
      <w:r>
        <w:rPr>
          <w:rFonts w:hint="eastAsia" w:ascii="仿宋_GB2312" w:hAnsi="宋体"/>
          <w:color w:val="000000" w:themeColor="text1"/>
          <w:szCs w:val="32"/>
          <w14:textFill>
            <w14:solidFill>
              <w14:schemeClr w14:val="tx1"/>
            </w14:solidFill>
          </w14:textFill>
        </w:rPr>
        <w:t>严格按照市委办、市政府办《关于加强市级行政事业单位经营性资产统一经营管理的通知》（广委办</w:t>
      </w:r>
      <w:r>
        <w:rPr>
          <w:rFonts w:hint="eastAsia" w:ascii="仿宋_GB2312" w:hAnsi="宋体"/>
          <w:color w:val="000000" w:themeColor="text1"/>
          <w:szCs w:val="32"/>
          <w:lang w:val="zh-CN"/>
          <w14:textFill>
            <w14:solidFill>
              <w14:schemeClr w14:val="tx1"/>
            </w14:solidFill>
          </w14:textFill>
        </w:rPr>
        <w:t>〔20</w:t>
      </w:r>
      <w:r>
        <w:rPr>
          <w:rFonts w:hint="eastAsia" w:ascii="仿宋_GB2312" w:hAnsi="宋体"/>
          <w:color w:val="000000" w:themeColor="text1"/>
          <w:szCs w:val="32"/>
          <w14:textFill>
            <w14:solidFill>
              <w14:schemeClr w14:val="tx1"/>
            </w14:solidFill>
          </w14:textFill>
        </w:rPr>
        <w:t>10</w:t>
      </w:r>
      <w:r>
        <w:rPr>
          <w:rFonts w:hint="eastAsia" w:ascii="仿宋_GB2312" w:hAnsi="宋体"/>
          <w:color w:val="000000" w:themeColor="text1"/>
          <w:szCs w:val="32"/>
          <w:lang w:val="zh-CN"/>
          <w14:textFill>
            <w14:solidFill>
              <w14:schemeClr w14:val="tx1"/>
            </w14:solidFill>
          </w14:textFill>
        </w:rPr>
        <w:t>〕</w:t>
      </w:r>
      <w:r>
        <w:rPr>
          <w:rFonts w:hint="eastAsia" w:ascii="仿宋_GB2312" w:hAnsi="宋体"/>
          <w:color w:val="000000" w:themeColor="text1"/>
          <w:szCs w:val="32"/>
          <w14:textFill>
            <w14:solidFill>
              <w14:schemeClr w14:val="tx1"/>
            </w14:solidFill>
          </w14:textFill>
        </w:rPr>
        <w:t>207号）、市政府办《关于印发〈广元市市级行政事业单位经营性资产管理办法〉的通知》（广府办发</w:t>
      </w:r>
      <w:r>
        <w:rPr>
          <w:rFonts w:hint="eastAsia" w:ascii="仿宋_GB2312" w:hAnsi="宋体"/>
          <w:color w:val="000000" w:themeColor="text1"/>
          <w:szCs w:val="32"/>
          <w:lang w:val="zh-CN"/>
          <w14:textFill>
            <w14:solidFill>
              <w14:schemeClr w14:val="tx1"/>
            </w14:solidFill>
          </w14:textFill>
        </w:rPr>
        <w:t>〔20</w:t>
      </w:r>
      <w:r>
        <w:rPr>
          <w:rFonts w:hint="eastAsia" w:ascii="仿宋_GB2312" w:hAnsi="宋体"/>
          <w:color w:val="000000" w:themeColor="text1"/>
          <w:szCs w:val="32"/>
          <w14:textFill>
            <w14:solidFill>
              <w14:schemeClr w14:val="tx1"/>
            </w14:solidFill>
          </w14:textFill>
        </w:rPr>
        <w:t>14</w:t>
      </w:r>
      <w:r>
        <w:rPr>
          <w:rFonts w:hint="eastAsia" w:ascii="仿宋_GB2312" w:hAnsi="宋体"/>
          <w:color w:val="000000" w:themeColor="text1"/>
          <w:szCs w:val="32"/>
          <w:lang w:val="zh-CN"/>
          <w14:textFill>
            <w14:solidFill>
              <w14:schemeClr w14:val="tx1"/>
            </w14:solidFill>
          </w14:textFill>
        </w:rPr>
        <w:t>〕</w:t>
      </w:r>
      <w:r>
        <w:rPr>
          <w:rFonts w:hint="eastAsia" w:ascii="仿宋_GB2312" w:hAnsi="宋体"/>
          <w:color w:val="000000" w:themeColor="text1"/>
          <w:szCs w:val="32"/>
          <w14:textFill>
            <w14:solidFill>
              <w14:schemeClr w14:val="tx1"/>
            </w14:solidFill>
          </w14:textFill>
        </w:rPr>
        <w:t>23号）文件精神，编制资产运行管理费预算。</w:t>
      </w:r>
    </w:p>
    <w:p>
      <w:pPr>
        <w:adjustRightInd w:val="0"/>
        <w:snapToGrid w:val="0"/>
        <w:spacing w:line="600" w:lineRule="exact"/>
        <w:ind w:firstLine="640"/>
        <w:rPr>
          <w:rFonts w:ascii="楷体_GB2312" w:hAnsi="楷体_GB2312" w:eastAsia="楷体_GB2312" w:cs="楷体_GB2312"/>
          <w:b/>
          <w:bCs/>
          <w:color w:val="000000" w:themeColor="text1"/>
          <w:szCs w:val="32"/>
          <w:lang w:val="zh-CN"/>
          <w14:textFill>
            <w14:solidFill>
              <w14:schemeClr w14:val="tx1"/>
            </w14:solidFill>
          </w14:textFill>
        </w:rPr>
      </w:pPr>
      <w:r>
        <w:rPr>
          <w:rFonts w:hint="eastAsia" w:ascii="楷体_GB2312" w:hAnsi="宋体" w:eastAsia="楷体_GB2312"/>
          <w:b/>
          <w:color w:val="000000" w:themeColor="text1"/>
          <w:szCs w:val="32"/>
          <w:lang w:val="zh-CN"/>
          <w14:textFill>
            <w14:solidFill>
              <w14:schemeClr w14:val="tx1"/>
            </w14:solidFill>
          </w14:textFill>
        </w:rPr>
        <w:t>（二）</w:t>
      </w:r>
      <w:r>
        <w:rPr>
          <w:rFonts w:ascii="楷体_GB2312" w:hAnsi="宋体" w:eastAsia="楷体_GB2312"/>
          <w:b/>
          <w:color w:val="000000" w:themeColor="text1"/>
          <w:szCs w:val="32"/>
          <w14:textFill>
            <w14:solidFill>
              <w14:schemeClr w14:val="tx1"/>
            </w14:solidFill>
          </w14:textFill>
        </w:rPr>
        <w:t>实施目的及支持方向</w:t>
      </w:r>
      <w:r>
        <w:rPr>
          <w:rFonts w:hint="eastAsia" w:ascii="楷体_GB2312" w:hAnsi="宋体" w:eastAsia="楷体_GB2312"/>
          <w:b/>
          <w:color w:val="000000" w:themeColor="text1"/>
          <w:szCs w:val="32"/>
          <w14:textFill>
            <w14:solidFill>
              <w14:schemeClr w14:val="tx1"/>
            </w14:solidFill>
          </w14:textFill>
        </w:rPr>
        <w:t>。</w:t>
      </w:r>
      <w:r>
        <w:rPr>
          <w:rFonts w:hint="eastAsia" w:ascii="仿宋_GB2312" w:hAnsi="宋体"/>
          <w:color w:val="000000" w:themeColor="text1"/>
          <w:szCs w:val="32"/>
          <w14:textFill>
            <w14:solidFill>
              <w14:schemeClr w14:val="tx1"/>
            </w14:solidFill>
          </w14:textFill>
        </w:rPr>
        <w:t>为实现资产收益最大化，通过日常对资产的维护和管理，完善应急处置工作机制、添置设施设备、定期召开安全生产工作会议等方式强化经营性资产监管，确保我单位统一管理的市级行政事业单位经营性资产的安全、高效、稳定正常租赁运行，实现资产保值增值。</w:t>
      </w:r>
    </w:p>
    <w:p>
      <w:pPr>
        <w:adjustRightInd w:val="0"/>
        <w:snapToGrid w:val="0"/>
        <w:spacing w:line="600" w:lineRule="exact"/>
        <w:ind w:firstLine="640"/>
        <w:rPr>
          <w:rFonts w:ascii="楷体_GB2312" w:hAnsi="宋体" w:eastAsia="楷体_GB2312"/>
          <w:b/>
          <w:color w:val="000000" w:themeColor="text1"/>
          <w:szCs w:val="32"/>
          <w:lang w:val="zh-CN"/>
          <w14:textFill>
            <w14:solidFill>
              <w14:schemeClr w14:val="tx1"/>
            </w14:solidFill>
          </w14:textFill>
        </w:rPr>
      </w:pPr>
      <w:r>
        <w:rPr>
          <w:rFonts w:hint="eastAsia" w:ascii="楷体_GB2312" w:hAnsi="宋体" w:eastAsia="楷体_GB2312"/>
          <w:b/>
          <w:color w:val="000000" w:themeColor="text1"/>
          <w:szCs w:val="32"/>
          <w:lang w:val="zh-CN"/>
          <w14:textFill>
            <w14:solidFill>
              <w14:schemeClr w14:val="tx1"/>
            </w14:solidFill>
          </w14:textFill>
        </w:rPr>
        <w:t>（三）</w:t>
      </w:r>
      <w:r>
        <w:rPr>
          <w:rFonts w:ascii="楷体_GB2312" w:hAnsi="宋体" w:eastAsia="楷体_GB2312"/>
          <w:b/>
          <w:color w:val="000000" w:themeColor="text1"/>
          <w:szCs w:val="32"/>
          <w14:textFill>
            <w14:solidFill>
              <w14:schemeClr w14:val="tx1"/>
            </w14:solidFill>
          </w14:textFill>
        </w:rPr>
        <w:t>预算安排及分配管理</w:t>
      </w:r>
      <w:r>
        <w:rPr>
          <w:rFonts w:hint="eastAsia" w:ascii="楷体_GB2312" w:hAnsi="宋体" w:eastAsia="楷体_GB2312"/>
          <w:b/>
          <w:color w:val="000000" w:themeColor="text1"/>
          <w:szCs w:val="32"/>
          <w:lang w:val="zh-CN"/>
          <w14:textFill>
            <w14:solidFill>
              <w14:schemeClr w14:val="tx1"/>
            </w14:solidFill>
          </w14:textFill>
        </w:rPr>
        <w:t>。</w:t>
      </w:r>
      <w:r>
        <w:rPr>
          <w:rFonts w:hint="eastAsia" w:ascii="仿宋_GB2312" w:hAnsi="宋体"/>
          <w:color w:val="000000" w:themeColor="text1"/>
          <w:szCs w:val="32"/>
          <w14:textFill>
            <w14:solidFill>
              <w14:schemeClr w14:val="tx1"/>
            </w14:solidFill>
          </w14:textFill>
        </w:rPr>
        <w:t>市财政局批复我单位2023年资产运行管理费预算23.3万元。项目资金到位后，严格按照市委办、市政府办《关于加强市级行政事业单位经营性资产统一经营管理的通知》（广委办</w:t>
      </w:r>
      <w:r>
        <w:rPr>
          <w:rFonts w:hint="eastAsia" w:ascii="仿宋_GB2312" w:hAnsi="宋体"/>
          <w:color w:val="000000" w:themeColor="text1"/>
          <w:szCs w:val="32"/>
          <w:lang w:val="zh-CN"/>
          <w14:textFill>
            <w14:solidFill>
              <w14:schemeClr w14:val="tx1"/>
            </w14:solidFill>
          </w14:textFill>
        </w:rPr>
        <w:t>〔20</w:t>
      </w:r>
      <w:r>
        <w:rPr>
          <w:rFonts w:hint="eastAsia" w:ascii="仿宋_GB2312" w:hAnsi="宋体"/>
          <w:color w:val="000000" w:themeColor="text1"/>
          <w:szCs w:val="32"/>
          <w14:textFill>
            <w14:solidFill>
              <w14:schemeClr w14:val="tx1"/>
            </w14:solidFill>
          </w14:textFill>
        </w:rPr>
        <w:t>10</w:t>
      </w:r>
      <w:r>
        <w:rPr>
          <w:rFonts w:hint="eastAsia" w:ascii="仿宋_GB2312" w:hAnsi="宋体"/>
          <w:color w:val="000000" w:themeColor="text1"/>
          <w:szCs w:val="32"/>
          <w:lang w:val="zh-CN"/>
          <w14:textFill>
            <w14:solidFill>
              <w14:schemeClr w14:val="tx1"/>
            </w14:solidFill>
          </w14:textFill>
        </w:rPr>
        <w:t>〕</w:t>
      </w:r>
      <w:r>
        <w:rPr>
          <w:rFonts w:hint="eastAsia" w:ascii="仿宋_GB2312" w:hAnsi="宋体"/>
          <w:color w:val="000000" w:themeColor="text1"/>
          <w:szCs w:val="32"/>
          <w14:textFill>
            <w14:solidFill>
              <w14:schemeClr w14:val="tx1"/>
            </w14:solidFill>
          </w14:textFill>
        </w:rPr>
        <w:t>207号）、市政府办《关于印发〈广元市市级行政事业单位经营性资产管理办法〉的通知》（广府办发</w:t>
      </w:r>
      <w:r>
        <w:rPr>
          <w:rFonts w:hint="eastAsia" w:ascii="仿宋_GB2312" w:hAnsi="宋体"/>
          <w:color w:val="000000" w:themeColor="text1"/>
          <w:szCs w:val="32"/>
          <w:lang w:val="zh-CN"/>
          <w14:textFill>
            <w14:solidFill>
              <w14:schemeClr w14:val="tx1"/>
            </w14:solidFill>
          </w14:textFill>
        </w:rPr>
        <w:t>〔20</w:t>
      </w:r>
      <w:r>
        <w:rPr>
          <w:rFonts w:hint="eastAsia" w:ascii="仿宋_GB2312" w:hAnsi="宋体"/>
          <w:color w:val="000000" w:themeColor="text1"/>
          <w:szCs w:val="32"/>
          <w14:textFill>
            <w14:solidFill>
              <w14:schemeClr w14:val="tx1"/>
            </w14:solidFill>
          </w14:textFill>
        </w:rPr>
        <w:t>14</w:t>
      </w:r>
      <w:r>
        <w:rPr>
          <w:rFonts w:hint="eastAsia" w:ascii="仿宋_GB2312" w:hAnsi="宋体"/>
          <w:color w:val="000000" w:themeColor="text1"/>
          <w:szCs w:val="32"/>
          <w:lang w:val="zh-CN"/>
          <w14:textFill>
            <w14:solidFill>
              <w14:schemeClr w14:val="tx1"/>
            </w14:solidFill>
          </w14:textFill>
        </w:rPr>
        <w:t>〕</w:t>
      </w:r>
      <w:r>
        <w:rPr>
          <w:rFonts w:hint="eastAsia" w:ascii="仿宋_GB2312" w:hAnsi="宋体"/>
          <w:color w:val="000000" w:themeColor="text1"/>
          <w:szCs w:val="32"/>
          <w14:textFill>
            <w14:solidFill>
              <w14:schemeClr w14:val="tx1"/>
            </w14:solidFill>
          </w14:textFill>
        </w:rPr>
        <w:t>23号）文件精神安排使用专项经费。2023年实际使用该项资金23.3万元。</w:t>
      </w:r>
    </w:p>
    <w:p>
      <w:pPr>
        <w:adjustRightInd w:val="0"/>
        <w:snapToGrid w:val="0"/>
        <w:spacing w:line="600" w:lineRule="exact"/>
        <w:ind w:firstLine="803" w:firstLineChars="250"/>
        <w:rPr>
          <w:rFonts w:ascii="仿宋_GB2312" w:hAnsi="宋体" w:cs="宋体"/>
          <w:color w:val="000000" w:themeColor="text1"/>
          <w:kern w:val="0"/>
          <w:szCs w:val="32"/>
          <w14:textFill>
            <w14:solidFill>
              <w14:schemeClr w14:val="tx1"/>
            </w14:solidFill>
          </w14:textFill>
        </w:rPr>
      </w:pPr>
      <w:r>
        <w:rPr>
          <w:rFonts w:hint="eastAsia" w:ascii="楷体_GB2312" w:hAnsi="宋体" w:eastAsia="楷体_GB2312"/>
          <w:b/>
          <w:color w:val="000000" w:themeColor="text1"/>
          <w:szCs w:val="32"/>
          <w:lang w:val="zh-CN"/>
          <w14:textFill>
            <w14:solidFill>
              <w14:schemeClr w14:val="tx1"/>
            </w14:solidFill>
          </w14:textFill>
        </w:rPr>
        <w:t>（四）项目绩效目标设置。</w:t>
      </w:r>
      <w:r>
        <w:rPr>
          <w:rFonts w:hint="eastAsia" w:ascii="仿宋_GB2312" w:hAnsi="宋体"/>
          <w:color w:val="000000" w:themeColor="text1"/>
          <w:szCs w:val="32"/>
          <w14:textFill>
            <w14:solidFill>
              <w14:schemeClr w14:val="tx1"/>
            </w14:solidFill>
          </w14:textFill>
        </w:rPr>
        <w:t>我单位认真填报《2023年预算项目支出绩效目标申报表》，编制资产运行管理费预算。市财政局批复我单位2023年资产运行管理费预算经费23.3万元。</w:t>
      </w:r>
      <w:r>
        <w:rPr>
          <w:rFonts w:hint="eastAsia" w:ascii="仿宋_GB2312" w:hAnsi="宋体" w:cs="宋体"/>
          <w:color w:val="000000" w:themeColor="text1"/>
          <w:kern w:val="0"/>
          <w:szCs w:val="32"/>
          <w14:textFill>
            <w14:solidFill>
              <w14:schemeClr w14:val="tx1"/>
            </w14:solidFill>
          </w14:textFill>
        </w:rPr>
        <w:t>通过资产日常管理，完善应急处置工作机制，定期召开安全生产工作会议等方式强化资产监管，确保经营性资产的安全、高效、稳定运营，实现资产保值增值和收益最大化，</w:t>
      </w:r>
    </w:p>
    <w:p>
      <w:pPr>
        <w:adjustRightInd w:val="0"/>
        <w:snapToGrid w:val="0"/>
        <w:spacing w:line="600" w:lineRule="exact"/>
        <w:ind w:firstLine="640" w:firstLineChars="200"/>
        <w:rPr>
          <w:rFonts w:ascii="黑体" w:hAnsi="宋体" w:eastAsia="黑体"/>
          <w:color w:val="000000" w:themeColor="text1"/>
          <w:szCs w:val="32"/>
          <w14:textFill>
            <w14:solidFill>
              <w14:schemeClr w14:val="tx1"/>
            </w14:solidFill>
          </w14:textFill>
        </w:rPr>
      </w:pPr>
      <w:r>
        <w:rPr>
          <w:rFonts w:hint="eastAsia" w:ascii="黑体" w:hAnsi="宋体" w:eastAsia="黑体"/>
          <w:color w:val="000000" w:themeColor="text1"/>
          <w:szCs w:val="32"/>
          <w14:textFill>
            <w14:solidFill>
              <w14:schemeClr w14:val="tx1"/>
            </w14:solidFill>
          </w14:textFill>
        </w:rPr>
        <w:t>二、评价实施</w:t>
      </w:r>
    </w:p>
    <w:p>
      <w:pPr>
        <w:adjustRightInd w:val="0"/>
        <w:snapToGrid w:val="0"/>
        <w:spacing w:line="600" w:lineRule="exact"/>
        <w:ind w:firstLine="640"/>
        <w:rPr>
          <w:rFonts w:ascii="楷体_GB2312" w:hAnsi="宋体" w:eastAsia="楷体_GB2312"/>
          <w:b/>
          <w:color w:val="000000" w:themeColor="text1"/>
          <w:szCs w:val="32"/>
          <w:lang w:val="zh-CN"/>
          <w14:textFill>
            <w14:solidFill>
              <w14:schemeClr w14:val="tx1"/>
            </w14:solidFill>
          </w14:textFill>
        </w:rPr>
      </w:pPr>
      <w:r>
        <w:rPr>
          <w:rFonts w:hint="eastAsia" w:ascii="楷体_GB2312" w:hAnsi="宋体" w:eastAsia="楷体_GB2312"/>
          <w:b/>
          <w:color w:val="000000" w:themeColor="text1"/>
          <w:szCs w:val="32"/>
          <w:lang w:val="zh-CN"/>
          <w14:textFill>
            <w14:solidFill>
              <w14:schemeClr w14:val="tx1"/>
            </w14:solidFill>
          </w14:textFill>
        </w:rPr>
        <w:t>（一）评价目的。</w:t>
      </w:r>
      <w:r>
        <w:rPr>
          <w:rFonts w:hint="eastAsia" w:ascii="仿宋_GB2312" w:hAnsi="宋体"/>
          <w:color w:val="000000" w:themeColor="text1"/>
          <w:szCs w:val="32"/>
          <w14:textFill>
            <w14:solidFill>
              <w14:schemeClr w14:val="tx1"/>
            </w14:solidFill>
          </w14:textFill>
        </w:rPr>
        <w:t>规范管理市级行政事业单位经营性资产，确保资产安全、高效、稳定运营，实现资产保值增值和资产收益最大化。</w:t>
      </w:r>
    </w:p>
    <w:p>
      <w:pPr>
        <w:adjustRightInd w:val="0"/>
        <w:snapToGrid w:val="0"/>
        <w:spacing w:line="600" w:lineRule="exact"/>
        <w:ind w:firstLine="640"/>
        <w:rPr>
          <w:rFonts w:ascii="仿宋_GB2312" w:hAnsi="仿宋"/>
          <w:color w:val="000000" w:themeColor="text1"/>
          <w:szCs w:val="32"/>
          <w14:textFill>
            <w14:solidFill>
              <w14:schemeClr w14:val="tx1"/>
            </w14:solidFill>
          </w14:textFill>
        </w:rPr>
      </w:pPr>
      <w:r>
        <w:rPr>
          <w:rFonts w:hint="eastAsia" w:ascii="楷体_GB2312" w:hAnsi="宋体" w:eastAsia="楷体_GB2312"/>
          <w:b/>
          <w:color w:val="000000" w:themeColor="text1"/>
          <w:szCs w:val="32"/>
          <w:lang w:val="zh-CN"/>
          <w14:textFill>
            <w14:solidFill>
              <w14:schemeClr w14:val="tx1"/>
            </w14:solidFill>
          </w14:textFill>
        </w:rPr>
        <w:t>（二）预设问题及评价重点。</w:t>
      </w:r>
      <w:r>
        <w:rPr>
          <w:rFonts w:hint="eastAsia" w:ascii="仿宋_GB2312" w:hAnsi="宋体"/>
          <w:color w:val="000000" w:themeColor="text1"/>
          <w:szCs w:val="32"/>
          <w:lang w:val="zh-CN"/>
          <w14:textFill>
            <w14:solidFill>
              <w14:schemeClr w14:val="tx1"/>
            </w14:solidFill>
          </w14:textFill>
        </w:rPr>
        <w:t>项目主要内容</w:t>
      </w:r>
      <w:r>
        <w:rPr>
          <w:rFonts w:hint="eastAsia" w:ascii="仿宋_GB2312" w:hAnsi="宋体"/>
          <w:color w:val="000000" w:themeColor="text1"/>
          <w:szCs w:val="32"/>
          <w14:textFill>
            <w14:solidFill>
              <w14:schemeClr w14:val="tx1"/>
            </w14:solidFill>
          </w14:textFill>
        </w:rPr>
        <w:t>包括年度内合同签订数量数量≥470户，资产安全检查次数≥4次，资产安全会议开展次数≥4次，资产运行稳定率≥95%，承租户满意度≥98%，房屋租赁收入≥1200万元。</w:t>
      </w:r>
    </w:p>
    <w:p>
      <w:pPr>
        <w:adjustRightInd w:val="0"/>
        <w:snapToGrid w:val="0"/>
        <w:spacing w:line="600" w:lineRule="exact"/>
        <w:ind w:firstLine="642" w:firstLineChars="200"/>
        <w:rPr>
          <w:color w:val="000000" w:themeColor="text1"/>
          <w:szCs w:val="32"/>
          <w:lang w:val="zh-CN"/>
          <w14:textFill>
            <w14:solidFill>
              <w14:schemeClr w14:val="tx1"/>
            </w14:solidFill>
          </w14:textFill>
        </w:rPr>
      </w:pPr>
      <w:r>
        <w:rPr>
          <w:rFonts w:hint="eastAsia" w:ascii="楷体_GB2312" w:hAnsi="宋体" w:eastAsia="楷体_GB2312"/>
          <w:b/>
          <w:color w:val="000000" w:themeColor="text1"/>
          <w:szCs w:val="32"/>
          <w:lang w:val="zh-CN"/>
          <w14:textFill>
            <w14:solidFill>
              <w14:schemeClr w14:val="tx1"/>
            </w14:solidFill>
          </w14:textFill>
        </w:rPr>
        <w:t>（三）评价选点。</w:t>
      </w:r>
      <w:r>
        <w:rPr>
          <w:rFonts w:hint="eastAsia" w:ascii="仿宋_GB2312" w:hAnsi="宋体"/>
          <w:color w:val="000000" w:themeColor="text1"/>
          <w:szCs w:val="32"/>
          <w14:textFill>
            <w14:solidFill>
              <w14:schemeClr w14:val="tx1"/>
            </w14:solidFill>
          </w14:textFill>
        </w:rPr>
        <w:t>按年初财政批复的预算项目支出绩效目标，</w:t>
      </w:r>
      <w:r>
        <w:rPr>
          <w:rFonts w:hint="eastAsia" w:ascii="仿宋_GB2312"/>
          <w:color w:val="000000" w:themeColor="text1"/>
          <w:szCs w:val="32"/>
          <w:lang w:val="zh-CN"/>
          <w14:textFill>
            <w14:solidFill>
              <w14:schemeClr w14:val="tx1"/>
            </w14:solidFill>
          </w14:textFill>
        </w:rPr>
        <w:t>项目绩效自评</w:t>
      </w:r>
      <w:r>
        <w:rPr>
          <w:rFonts w:hint="eastAsia" w:ascii="仿宋_GB2312" w:hAnsi="宋体"/>
          <w:color w:val="000000" w:themeColor="text1"/>
          <w:szCs w:val="32"/>
          <w14:textFill>
            <w14:solidFill>
              <w14:schemeClr w14:val="tx1"/>
            </w14:solidFill>
          </w14:textFill>
        </w:rPr>
        <w:t>使用资产运行管理费控制在23.3万元内</w:t>
      </w:r>
      <w:r>
        <w:rPr>
          <w:rFonts w:hint="eastAsia" w:ascii="仿宋_GB2312"/>
          <w:color w:val="000000" w:themeColor="text1"/>
          <w:szCs w:val="32"/>
          <w:lang w:val="zh-CN"/>
          <w14:textFill>
            <w14:solidFill>
              <w14:schemeClr w14:val="tx1"/>
            </w14:solidFill>
          </w14:textFill>
        </w:rPr>
        <w:t>。</w:t>
      </w:r>
      <w:r>
        <w:rPr>
          <w:rFonts w:hint="eastAsia" w:ascii="仿宋_GB2312" w:hAnsi="宋体"/>
          <w:color w:val="000000" w:themeColor="text1"/>
          <w:szCs w:val="32"/>
          <w14:textFill>
            <w14:solidFill>
              <w14:schemeClr w14:val="tx1"/>
            </w14:solidFill>
          </w14:textFill>
        </w:rPr>
        <w:t>预算资金执行比率及实际完成指标值计算自评得分100分。</w:t>
      </w:r>
    </w:p>
    <w:p>
      <w:pPr>
        <w:adjustRightInd w:val="0"/>
        <w:snapToGrid w:val="0"/>
        <w:spacing w:line="600" w:lineRule="exact"/>
        <w:ind w:firstLine="640"/>
        <w:rPr>
          <w:color w:val="000000" w:themeColor="text1"/>
          <w:szCs w:val="32"/>
          <w14:textFill>
            <w14:solidFill>
              <w14:schemeClr w14:val="tx1"/>
            </w14:solidFill>
          </w14:textFill>
        </w:rPr>
      </w:pPr>
      <w:r>
        <w:rPr>
          <w:rFonts w:hint="eastAsia" w:ascii="楷体_GB2312" w:hAnsi="宋体" w:eastAsia="楷体_GB2312"/>
          <w:b/>
          <w:color w:val="000000" w:themeColor="text1"/>
          <w:szCs w:val="32"/>
          <w:lang w:val="zh-CN"/>
          <w14:textFill>
            <w14:solidFill>
              <w14:schemeClr w14:val="tx1"/>
            </w14:solidFill>
          </w14:textFill>
        </w:rPr>
        <w:t>（四）评价方法。</w:t>
      </w:r>
      <w:r>
        <w:rPr>
          <w:rFonts w:hint="eastAsia" w:ascii="仿宋_GB2312"/>
          <w:color w:val="000000" w:themeColor="text1"/>
          <w:szCs w:val="32"/>
          <w14:textFill>
            <w14:solidFill>
              <w14:schemeClr w14:val="tx1"/>
            </w14:solidFill>
          </w14:textFill>
        </w:rPr>
        <w:t>根据项目情况和评价重点，用来收集相关材料和开展具体评价的方法。包括：采用成本效益分析法、单位自评法、实地勘察法、问卷调查法等多种方法。</w:t>
      </w:r>
    </w:p>
    <w:p>
      <w:pPr>
        <w:adjustRightInd w:val="0"/>
        <w:snapToGrid w:val="0"/>
        <w:spacing w:line="600" w:lineRule="exact"/>
        <w:ind w:firstLine="642" w:firstLineChars="200"/>
        <w:rPr>
          <w:rFonts w:ascii="仿宋_GB2312" w:hAnsi="仿宋_GB2312" w:cs="仿宋_GB2312"/>
          <w:bCs/>
          <w:color w:val="000000" w:themeColor="text1"/>
          <w:kern w:val="0"/>
          <w:szCs w:val="32"/>
          <w14:textFill>
            <w14:solidFill>
              <w14:schemeClr w14:val="tx1"/>
            </w14:solidFill>
          </w14:textFill>
        </w:rPr>
      </w:pPr>
      <w:r>
        <w:rPr>
          <w:rFonts w:hint="eastAsia" w:ascii="楷体_GB2312" w:hAnsi="宋体" w:eastAsia="楷体_GB2312"/>
          <w:b/>
          <w:color w:val="000000" w:themeColor="text1"/>
          <w:szCs w:val="32"/>
          <w:lang w:val="zh-CN"/>
          <w14:textFill>
            <w14:solidFill>
              <w14:schemeClr w14:val="tx1"/>
            </w14:solidFill>
          </w14:textFill>
        </w:rPr>
        <w:t>（五）评价组织。</w:t>
      </w:r>
      <w:r>
        <w:rPr>
          <w:rFonts w:hint="eastAsia" w:ascii="仿宋_GB2312"/>
          <w:color w:val="000000" w:themeColor="text1"/>
          <w:szCs w:val="32"/>
          <w14:textFill>
            <w14:solidFill>
              <w14:schemeClr w14:val="tx1"/>
            </w14:solidFill>
          </w14:textFill>
        </w:rPr>
        <w:t>评价组人员构成资产科室及财务科人员。</w:t>
      </w:r>
      <w:r>
        <w:rPr>
          <w:rFonts w:hint="eastAsia" w:ascii="仿宋_GB2312" w:hAnsi="宋体"/>
          <w:color w:val="000000" w:themeColor="text1"/>
          <w:szCs w:val="32"/>
          <w:lang w:val="zh-CN"/>
          <w14:textFill>
            <w14:solidFill>
              <w14:schemeClr w14:val="tx1"/>
            </w14:solidFill>
          </w14:textFill>
        </w:rPr>
        <w:t>财务人员岗位分工明确，内部财务管理制度完善，会计核算准确，会计档案管理规范，资金管理流程科学。在项目资金管理、使用上，坚持专款专用，量入为出的原则，各项专用资金使用正确，并达到预期目的。严格票据审核，每笔资金的支出都实行了统一申报项目资金计划，审批后按财务制度在</w:t>
      </w:r>
      <w:r>
        <w:rPr>
          <w:rFonts w:hint="eastAsia" w:ascii="仿宋_GB2312" w:hAnsi="宋体"/>
          <w:color w:val="000000" w:themeColor="text1"/>
          <w:szCs w:val="32"/>
          <w14:textFill>
            <w14:solidFill>
              <w14:schemeClr w14:val="tx1"/>
            </w14:solidFill>
          </w14:textFill>
        </w:rPr>
        <w:t>财政预算一体化管理信息系统审批</w:t>
      </w:r>
      <w:r>
        <w:rPr>
          <w:rFonts w:hint="eastAsia" w:ascii="仿宋_GB2312" w:hAnsi="宋体"/>
          <w:color w:val="000000" w:themeColor="text1"/>
          <w:szCs w:val="32"/>
          <w:lang w:val="zh-CN"/>
          <w14:textFill>
            <w14:solidFill>
              <w14:schemeClr w14:val="tx1"/>
            </w14:solidFill>
          </w14:textFill>
        </w:rPr>
        <w:t>支付。资产科室</w:t>
      </w:r>
      <w:r>
        <w:rPr>
          <w:rFonts w:hint="eastAsia" w:ascii="仿宋_GB2312" w:hAnsi="宋体"/>
          <w:color w:val="000000" w:themeColor="text1"/>
          <w:szCs w:val="32"/>
          <w14:textFill>
            <w14:solidFill>
              <w14:schemeClr w14:val="tx1"/>
            </w14:solidFill>
          </w14:textFill>
        </w:rPr>
        <w:t>分片区管理，实行片区负责人制，同时各路段由专人负责，统筹协调资产管理过程中出现的各种问题。</w:t>
      </w:r>
    </w:p>
    <w:p>
      <w:pPr>
        <w:adjustRightInd w:val="0"/>
        <w:snapToGrid w:val="0"/>
        <w:spacing w:line="600" w:lineRule="exact"/>
        <w:ind w:firstLine="640" w:firstLineChars="200"/>
        <w:rPr>
          <w:rFonts w:ascii="仿宋_GB2312" w:hAnsi="宋体"/>
          <w:color w:val="000000" w:themeColor="text1"/>
          <w:szCs w:val="32"/>
          <w:lang w:val="zh-CN"/>
          <w14:textFill>
            <w14:solidFill>
              <w14:schemeClr w14:val="tx1"/>
            </w14:solidFill>
          </w14:textFill>
        </w:rPr>
      </w:pPr>
      <w:r>
        <w:rPr>
          <w:rFonts w:hint="eastAsia" w:ascii="黑体" w:hAnsi="宋体" w:eastAsia="黑体"/>
          <w:color w:val="000000" w:themeColor="text1"/>
          <w:szCs w:val="32"/>
          <w14:textFill>
            <w14:solidFill>
              <w14:schemeClr w14:val="tx1"/>
            </w14:solidFill>
          </w14:textFill>
        </w:rPr>
        <w:t>三、绩效分析</w:t>
      </w:r>
      <w:r>
        <w:rPr>
          <w:rFonts w:hint="eastAsia" w:ascii="仿宋_GB2312" w:hAnsi="宋体"/>
          <w:color w:val="000000" w:themeColor="text1"/>
          <w:szCs w:val="32"/>
          <w:lang w:val="zh-CN"/>
          <w14:textFill>
            <w14:solidFill>
              <w14:schemeClr w14:val="tx1"/>
            </w14:solidFill>
          </w14:textFill>
        </w:rPr>
        <w:tab/>
      </w:r>
    </w:p>
    <w:p>
      <w:pPr>
        <w:adjustRightInd w:val="0"/>
        <w:snapToGrid w:val="0"/>
        <w:spacing w:line="600" w:lineRule="exact"/>
        <w:ind w:firstLine="640"/>
        <w:rPr>
          <w:rFonts w:ascii="楷体_GB2312" w:hAnsi="宋体" w:eastAsia="楷体_GB2312"/>
          <w:b/>
          <w:color w:val="000000" w:themeColor="text1"/>
          <w:szCs w:val="32"/>
          <w14:textFill>
            <w14:solidFill>
              <w14:schemeClr w14:val="tx1"/>
            </w14:solidFill>
          </w14:textFill>
        </w:rPr>
      </w:pPr>
      <w:r>
        <w:rPr>
          <w:rFonts w:hint="eastAsia" w:ascii="楷体_GB2312" w:hAnsi="宋体" w:eastAsia="楷体_GB2312"/>
          <w:b/>
          <w:color w:val="000000" w:themeColor="text1"/>
          <w:szCs w:val="32"/>
          <w:lang w:val="zh-CN"/>
          <w14:textFill>
            <w14:solidFill>
              <w14:schemeClr w14:val="tx1"/>
            </w14:solidFill>
          </w14:textFill>
        </w:rPr>
        <w:t>（一）</w:t>
      </w:r>
      <w:r>
        <w:rPr>
          <w:rFonts w:hint="eastAsia" w:ascii="楷体_GB2312" w:hAnsi="宋体" w:eastAsia="楷体_GB2312"/>
          <w:b/>
          <w:color w:val="000000" w:themeColor="text1"/>
          <w:szCs w:val="32"/>
          <w14:textFill>
            <w14:solidFill>
              <w14:schemeClr w14:val="tx1"/>
            </w14:solidFill>
          </w14:textFill>
        </w:rPr>
        <w:t>通用指标</w:t>
      </w:r>
      <w:r>
        <w:rPr>
          <w:rFonts w:eastAsia="楷体_GB2312"/>
          <w:b/>
          <w:bCs/>
          <w:color w:val="000000" w:themeColor="text1"/>
          <w:kern w:val="0"/>
          <w:szCs w:val="32"/>
          <w:shd w:val="clear" w:color="auto" w:fill="FFFFFF"/>
          <w:lang w:val="zh-CN"/>
          <w14:textFill>
            <w14:solidFill>
              <w14:schemeClr w14:val="tx1"/>
            </w14:solidFill>
          </w14:textFill>
        </w:rPr>
        <w:t>绩效分析。</w:t>
      </w:r>
    </w:p>
    <w:p>
      <w:pPr>
        <w:adjustRightInd w:val="0"/>
        <w:snapToGrid w:val="0"/>
        <w:spacing w:line="600" w:lineRule="exact"/>
        <w:ind w:firstLine="643"/>
        <w:rPr>
          <w:rFonts w:ascii="楷体_GB2312" w:hAnsi="楷体_GB2312" w:eastAsia="楷体_GB2312" w:cs="楷体_GB2312"/>
          <w:b/>
          <w:bCs/>
          <w:color w:val="000000" w:themeColor="text1"/>
          <w:szCs w:val="32"/>
          <w:lang w:val="zh-CN"/>
          <w14:textFill>
            <w14:solidFill>
              <w14:schemeClr w14:val="tx1"/>
            </w14:solidFill>
          </w14:textFill>
        </w:rPr>
      </w:pPr>
      <w:r>
        <w:rPr>
          <w:rFonts w:hint="eastAsia" w:ascii="楷体_GB2312" w:hAnsi="楷体_GB2312" w:eastAsia="楷体_GB2312" w:cs="楷体_GB2312"/>
          <w:color w:val="000000" w:themeColor="text1"/>
          <w:szCs w:val="32"/>
          <w14:textFill>
            <w14:solidFill>
              <w14:schemeClr w14:val="tx1"/>
            </w14:solidFill>
          </w14:textFill>
        </w:rPr>
        <w:t>1.项目决策。</w:t>
      </w:r>
      <w:r>
        <w:rPr>
          <w:rFonts w:hint="eastAsia" w:ascii="仿宋_GB2312" w:hAnsi="宋体"/>
          <w:color w:val="000000" w:themeColor="text1"/>
          <w:szCs w:val="32"/>
          <w14:textFill>
            <w14:solidFill>
              <w14:schemeClr w14:val="tx1"/>
            </w14:solidFill>
          </w14:textFill>
        </w:rPr>
        <w:t>严格按照市委办、市政府办《关于加强市级行政事业单位经营性资产统一经营管理的通知》（广委办</w:t>
      </w:r>
      <w:r>
        <w:rPr>
          <w:rFonts w:hint="eastAsia" w:ascii="仿宋_GB2312" w:hAnsi="宋体"/>
          <w:color w:val="000000" w:themeColor="text1"/>
          <w:szCs w:val="32"/>
          <w:lang w:val="zh-CN"/>
          <w14:textFill>
            <w14:solidFill>
              <w14:schemeClr w14:val="tx1"/>
            </w14:solidFill>
          </w14:textFill>
        </w:rPr>
        <w:t>〔20</w:t>
      </w:r>
      <w:r>
        <w:rPr>
          <w:rFonts w:hint="eastAsia" w:ascii="仿宋_GB2312" w:hAnsi="宋体"/>
          <w:color w:val="000000" w:themeColor="text1"/>
          <w:szCs w:val="32"/>
          <w14:textFill>
            <w14:solidFill>
              <w14:schemeClr w14:val="tx1"/>
            </w14:solidFill>
          </w14:textFill>
        </w:rPr>
        <w:t>10</w:t>
      </w:r>
      <w:r>
        <w:rPr>
          <w:rFonts w:hint="eastAsia" w:ascii="仿宋_GB2312" w:hAnsi="宋体"/>
          <w:color w:val="000000" w:themeColor="text1"/>
          <w:szCs w:val="32"/>
          <w:lang w:val="zh-CN"/>
          <w14:textFill>
            <w14:solidFill>
              <w14:schemeClr w14:val="tx1"/>
            </w14:solidFill>
          </w14:textFill>
        </w:rPr>
        <w:t>〕</w:t>
      </w:r>
      <w:r>
        <w:rPr>
          <w:rFonts w:hint="eastAsia" w:ascii="仿宋_GB2312" w:hAnsi="宋体"/>
          <w:color w:val="000000" w:themeColor="text1"/>
          <w:szCs w:val="32"/>
          <w14:textFill>
            <w14:solidFill>
              <w14:schemeClr w14:val="tx1"/>
            </w14:solidFill>
          </w14:textFill>
        </w:rPr>
        <w:t>207号）、市政府办《关于印发〈广元市市级行政事业单位经营性资产管理办法〉的通知》（广府办发</w:t>
      </w:r>
      <w:r>
        <w:rPr>
          <w:rFonts w:hint="eastAsia" w:ascii="仿宋_GB2312" w:hAnsi="宋体"/>
          <w:color w:val="000000" w:themeColor="text1"/>
          <w:szCs w:val="32"/>
          <w:lang w:val="zh-CN"/>
          <w14:textFill>
            <w14:solidFill>
              <w14:schemeClr w14:val="tx1"/>
            </w14:solidFill>
          </w14:textFill>
        </w:rPr>
        <w:t>〔20</w:t>
      </w:r>
      <w:r>
        <w:rPr>
          <w:rFonts w:hint="eastAsia" w:ascii="仿宋_GB2312" w:hAnsi="宋体"/>
          <w:color w:val="000000" w:themeColor="text1"/>
          <w:szCs w:val="32"/>
          <w14:textFill>
            <w14:solidFill>
              <w14:schemeClr w14:val="tx1"/>
            </w14:solidFill>
          </w14:textFill>
        </w:rPr>
        <w:t>14</w:t>
      </w:r>
      <w:r>
        <w:rPr>
          <w:rFonts w:hint="eastAsia" w:ascii="仿宋_GB2312" w:hAnsi="宋体"/>
          <w:color w:val="000000" w:themeColor="text1"/>
          <w:szCs w:val="32"/>
          <w:lang w:val="zh-CN"/>
          <w14:textFill>
            <w14:solidFill>
              <w14:schemeClr w14:val="tx1"/>
            </w14:solidFill>
          </w14:textFill>
        </w:rPr>
        <w:t>〕</w:t>
      </w:r>
      <w:r>
        <w:rPr>
          <w:rFonts w:hint="eastAsia" w:ascii="仿宋_GB2312" w:hAnsi="宋体"/>
          <w:color w:val="000000" w:themeColor="text1"/>
          <w:szCs w:val="32"/>
          <w14:textFill>
            <w14:solidFill>
              <w14:schemeClr w14:val="tx1"/>
            </w14:solidFill>
          </w14:textFill>
        </w:rPr>
        <w:t>23号）文件</w:t>
      </w:r>
      <w:r>
        <w:rPr>
          <w:rFonts w:hint="eastAsia" w:ascii="仿宋_GB2312" w:hAnsi="宋体"/>
          <w:color w:val="000000" w:themeColor="text1"/>
          <w:szCs w:val="32"/>
          <w:lang w:val="zh-CN"/>
          <w14:textFill>
            <w14:solidFill>
              <w14:schemeClr w14:val="tx1"/>
            </w14:solidFill>
          </w14:textFill>
        </w:rPr>
        <w:t>相关规定</w:t>
      </w:r>
      <w:r>
        <w:rPr>
          <w:rFonts w:hint="eastAsia" w:ascii="仿宋_GB2312" w:hAnsi="宋体"/>
          <w:color w:val="000000" w:themeColor="text1"/>
          <w:szCs w:val="32"/>
          <w14:textFill>
            <w14:solidFill>
              <w14:schemeClr w14:val="tx1"/>
            </w14:solidFill>
          </w14:textFill>
        </w:rPr>
        <w:t>。</w:t>
      </w:r>
    </w:p>
    <w:p>
      <w:pPr>
        <w:adjustRightInd w:val="0"/>
        <w:snapToGrid w:val="0"/>
        <w:spacing w:line="600" w:lineRule="exact"/>
        <w:ind w:firstLine="640" w:firstLineChars="200"/>
        <w:rPr>
          <w:rFonts w:ascii="仿宋_GB2312" w:hAnsi="楷体_GB2312" w:cs="楷体_GB2312"/>
          <w:bCs/>
          <w:color w:val="000000" w:themeColor="text1"/>
          <w:szCs w:val="32"/>
          <w:lang w:val="zh-CN"/>
          <w14:textFill>
            <w14:solidFill>
              <w14:schemeClr w14:val="tx1"/>
            </w14:solidFill>
          </w14:textFill>
        </w:rPr>
      </w:pPr>
      <w:r>
        <w:rPr>
          <w:rFonts w:hint="eastAsia" w:ascii="楷体_GB2312" w:hAnsi="楷体_GB2312" w:eastAsia="楷体_GB2312" w:cs="楷体_GB2312"/>
          <w:color w:val="000000" w:themeColor="text1"/>
          <w:szCs w:val="32"/>
          <w14:textFill>
            <w14:solidFill>
              <w14:schemeClr w14:val="tx1"/>
            </w14:solidFill>
          </w14:textFill>
        </w:rPr>
        <w:t>2.项目管理。</w:t>
      </w:r>
      <w:r>
        <w:rPr>
          <w:rFonts w:hint="eastAsia" w:ascii="仿宋_GB2312" w:hAnsi="楷体_GB2312" w:cs="楷体_GB2312"/>
          <w:bCs/>
          <w:color w:val="000000" w:themeColor="text1"/>
          <w:szCs w:val="32"/>
          <w:lang w:val="zh-CN"/>
          <w14:textFill>
            <w14:solidFill>
              <w14:schemeClr w14:val="tx1"/>
            </w14:solidFill>
          </w14:textFill>
        </w:rPr>
        <w:t>对项目决策到项目结束的全过程进行有计划、有组织的管理、控制和评价。</w:t>
      </w:r>
      <w:r>
        <w:rPr>
          <w:rFonts w:hint="eastAsia" w:ascii="仿宋_GB2312" w:hAnsi="仿宋_GB2312" w:cs="仿宋_GB2312"/>
          <w:color w:val="000000" w:themeColor="text1"/>
          <w:kern w:val="0"/>
          <w:szCs w:val="32"/>
          <w14:textFill>
            <w14:solidFill>
              <w14:schemeClr w14:val="tx1"/>
            </w14:solidFill>
          </w14:textFill>
        </w:rPr>
        <w:t>严格按照《财务管理制度》和财政批复要求，按项目进度支付，并主动接受财政、审计部门的监督检查。在资金使用过程中，</w:t>
      </w:r>
      <w:r>
        <w:rPr>
          <w:rFonts w:hint="eastAsia" w:ascii="仿宋_GB2312" w:hAnsi="仿宋_GB2312" w:cs="仿宋_GB2312"/>
          <w:color w:val="000000" w:themeColor="text1"/>
          <w:szCs w:val="32"/>
          <w14:textFill>
            <w14:solidFill>
              <w14:schemeClr w14:val="tx1"/>
            </w14:solidFill>
          </w14:textFill>
        </w:rPr>
        <w:t>加强专项资金使用的监督管理，确保专项资金</w:t>
      </w:r>
      <w:r>
        <w:rPr>
          <w:rFonts w:hint="eastAsia" w:ascii="仿宋_GB2312" w:hAnsi="仿宋_GB2312" w:cs="仿宋_GB2312"/>
          <w:bCs/>
          <w:color w:val="000000" w:themeColor="text1"/>
          <w:szCs w:val="32"/>
          <w:lang w:val="zh-CN"/>
          <w14:textFill>
            <w14:solidFill>
              <w14:schemeClr w14:val="tx1"/>
            </w14:solidFill>
          </w14:textFill>
        </w:rPr>
        <w:t>支付依据合规合法，财务管理制度、会计核算规范，财务处理及时。</w:t>
      </w:r>
    </w:p>
    <w:p>
      <w:pPr>
        <w:adjustRightInd w:val="0"/>
        <w:snapToGrid w:val="0"/>
        <w:spacing w:line="600" w:lineRule="exact"/>
        <w:ind w:firstLine="640"/>
        <w:jc w:val="left"/>
        <w:rPr>
          <w:rFonts w:ascii="仿宋_GB2312" w:hAnsi="宋体"/>
          <w:color w:val="000000" w:themeColor="text1"/>
          <w:szCs w:val="32"/>
          <w14:textFill>
            <w14:solidFill>
              <w14:schemeClr w14:val="tx1"/>
            </w14:solidFill>
          </w14:textFill>
        </w:rPr>
      </w:pPr>
      <w:r>
        <w:rPr>
          <w:rFonts w:hint="eastAsia" w:ascii="楷体_GB2312" w:hAnsi="楷体_GB2312" w:eastAsia="楷体_GB2312" w:cs="楷体_GB2312"/>
          <w:color w:val="000000" w:themeColor="text1"/>
          <w:szCs w:val="32"/>
          <w14:textFill>
            <w14:solidFill>
              <w14:schemeClr w14:val="tx1"/>
            </w14:solidFill>
          </w14:textFill>
        </w:rPr>
        <w:t>3.项目实施。</w:t>
      </w:r>
      <w:r>
        <w:rPr>
          <w:rFonts w:hint="eastAsia" w:ascii="仿宋_GB2312" w:hAnsi="宋体"/>
          <w:color w:val="000000" w:themeColor="text1"/>
          <w:szCs w:val="32"/>
          <w14:textFill>
            <w14:solidFill>
              <w14:schemeClr w14:val="tx1"/>
            </w14:solidFill>
          </w14:textFill>
        </w:rPr>
        <w:t>严格落实《广元市市级行政事业单位经营性资产管理办法》文件精神。一是通过与租户签订安全运营协议，明确资产管理和租赁经营双方的权责关系，落实安全责任，完善应急处置工作机制，添置设施设备，及时处理报修电话，确保租户安全正常经营。二是专人负责，责任到人。针对我单位管理的经营性资产分布广的特点，采取科室分片区管理，实行片区负责人制，各片区落实专人责任，统筹协调资产管理过程中出现的各种问题。三是强化服务，化解难题，及时主动与承租户沟通，研究重点解决需要维修的资产，同时对承租户积极进行解释说明，争取承租户最大限度的理解和支持，真正把好事办好。四是规范管理、强化监督。为保障项目资金使用合理规范，我单位成立内部控制领导小组，对单位项目资金的使用进行监督。</w:t>
      </w:r>
    </w:p>
    <w:p>
      <w:pPr>
        <w:adjustRightInd w:val="0"/>
        <w:snapToGrid w:val="0"/>
        <w:spacing w:line="600" w:lineRule="exact"/>
        <w:ind w:firstLine="720"/>
        <w:rPr>
          <w:rFonts w:ascii="仿宋_GB2312" w:hAnsi="仿宋_GB2312" w:cs="仿宋_GB2312"/>
          <w:color w:val="000000" w:themeColor="text1"/>
          <w:szCs w:val="32"/>
          <w14:textFill>
            <w14:solidFill>
              <w14:schemeClr w14:val="tx1"/>
            </w14:solidFill>
          </w14:textFill>
        </w:rPr>
      </w:pPr>
      <w:r>
        <w:rPr>
          <w:rFonts w:hint="eastAsia" w:ascii="楷体_GB2312" w:hAnsi="楷体_GB2312" w:eastAsia="楷体_GB2312" w:cs="楷体_GB2312"/>
          <w:color w:val="000000" w:themeColor="text1"/>
          <w:szCs w:val="32"/>
          <w14:textFill>
            <w14:solidFill>
              <w14:schemeClr w14:val="tx1"/>
            </w14:solidFill>
          </w14:textFill>
        </w:rPr>
        <w:t>4.项目结果。</w:t>
      </w:r>
      <w:r>
        <w:rPr>
          <w:rFonts w:hint="eastAsia" w:ascii="仿宋_GB2312" w:hAnsi="宋体"/>
          <w:color w:val="000000" w:themeColor="text1"/>
          <w:szCs w:val="32"/>
          <w:lang w:val="zh-CN"/>
          <w14:textFill>
            <w14:solidFill>
              <w14:schemeClr w14:val="tx1"/>
            </w14:solidFill>
          </w14:textFill>
        </w:rPr>
        <w:t>该项目专用资金用于我</w:t>
      </w:r>
      <w:r>
        <w:rPr>
          <w:rFonts w:hint="eastAsia" w:ascii="仿宋_GB2312" w:hAnsi="宋体"/>
          <w:color w:val="000000" w:themeColor="text1"/>
          <w:szCs w:val="32"/>
          <w14:textFill>
            <w14:solidFill>
              <w14:schemeClr w14:val="tx1"/>
            </w14:solidFill>
          </w14:textFill>
        </w:rPr>
        <w:t>单位资产的日常管理，</w:t>
      </w:r>
      <w:r>
        <w:rPr>
          <w:rFonts w:hint="eastAsia" w:ascii="仿宋_GB2312" w:hAnsi="宋体"/>
          <w:color w:val="000000" w:themeColor="text1"/>
          <w:szCs w:val="32"/>
          <w:lang w:val="zh-CN"/>
          <w14:textFill>
            <w14:solidFill>
              <w14:schemeClr w14:val="tx1"/>
            </w14:solidFill>
          </w14:textFill>
        </w:rPr>
        <w:t>项目所申报内容与实际相符，申报目标合理可行。</w:t>
      </w:r>
    </w:p>
    <w:p>
      <w:pPr>
        <w:adjustRightInd w:val="0"/>
        <w:snapToGrid w:val="0"/>
        <w:spacing w:line="600" w:lineRule="exact"/>
        <w:ind w:firstLine="642" w:firstLineChars="200"/>
        <w:rPr>
          <w:rFonts w:ascii="楷体_GB2312" w:hAnsi="楷体_GB2312" w:eastAsia="楷体_GB2312" w:cs="楷体_GB2312"/>
          <w:color w:val="000000" w:themeColor="text1"/>
          <w:szCs w:val="32"/>
          <w:lang w:val="zh-CN"/>
          <w14:textFill>
            <w14:solidFill>
              <w14:schemeClr w14:val="tx1"/>
            </w14:solidFill>
          </w14:textFill>
        </w:rPr>
      </w:pPr>
      <w:r>
        <w:rPr>
          <w:rFonts w:hint="eastAsia" w:ascii="楷体_GB2312" w:hAnsi="宋体" w:eastAsia="楷体_GB2312"/>
          <w:b/>
          <w:color w:val="000000" w:themeColor="text1"/>
          <w:szCs w:val="32"/>
          <w:lang w:val="zh-CN"/>
          <w14:textFill>
            <w14:solidFill>
              <w14:schemeClr w14:val="tx1"/>
            </w14:solidFill>
          </w14:textFill>
        </w:rPr>
        <w:t>（二）</w:t>
      </w:r>
      <w:r>
        <w:rPr>
          <w:rFonts w:hint="eastAsia" w:ascii="楷体_GB2312" w:hAnsi="宋体" w:eastAsia="楷体_GB2312"/>
          <w:b/>
          <w:color w:val="000000" w:themeColor="text1"/>
          <w:szCs w:val="32"/>
          <w14:textFill>
            <w14:solidFill>
              <w14:schemeClr w14:val="tx1"/>
            </w14:solidFill>
          </w14:textFill>
        </w:rPr>
        <w:t>专用指标</w:t>
      </w:r>
      <w:r>
        <w:rPr>
          <w:rFonts w:eastAsia="楷体_GB2312"/>
          <w:b/>
          <w:bCs/>
          <w:color w:val="000000" w:themeColor="text1"/>
          <w:kern w:val="0"/>
          <w:szCs w:val="32"/>
          <w:shd w:val="clear" w:color="auto" w:fill="FFFFFF"/>
          <w:lang w:val="zh-CN"/>
          <w14:textFill>
            <w14:solidFill>
              <w14:schemeClr w14:val="tx1"/>
            </w14:solidFill>
          </w14:textFill>
        </w:rPr>
        <w:t>绩效分析。</w:t>
      </w:r>
    </w:p>
    <w:p>
      <w:pPr>
        <w:adjustRightInd w:val="0"/>
        <w:snapToGrid w:val="0"/>
        <w:spacing w:line="600" w:lineRule="exact"/>
        <w:ind w:firstLine="640"/>
        <w:rPr>
          <w:rFonts w:ascii="楷体_GB2312" w:hAnsi="宋体" w:eastAsia="楷体_GB2312"/>
          <w:b/>
          <w:color w:val="000000" w:themeColor="text1"/>
          <w:szCs w:val="32"/>
          <w:lang w:val="zh-CN"/>
          <w14:textFill>
            <w14:solidFill>
              <w14:schemeClr w14:val="tx1"/>
            </w14:solidFill>
          </w14:textFill>
        </w:rPr>
      </w:pPr>
      <w:r>
        <w:rPr>
          <w:rFonts w:hint="eastAsia" w:ascii="楷体_GB2312" w:hAnsi="楷体_GB2312" w:eastAsia="楷体_GB2312" w:cs="楷体_GB2312"/>
          <w:color w:val="000000" w:themeColor="text1"/>
          <w:szCs w:val="32"/>
          <w14:textFill>
            <w14:solidFill>
              <w14:schemeClr w14:val="tx1"/>
            </w14:solidFill>
          </w14:textFill>
        </w:rPr>
        <w:t>1.产业发展。</w:t>
      </w:r>
      <w:r>
        <w:rPr>
          <w:rFonts w:hint="eastAsia" w:ascii="仿宋_GB2312" w:hAnsi="宋体"/>
          <w:color w:val="000000" w:themeColor="text1"/>
          <w:szCs w:val="32"/>
          <w14:textFill>
            <w14:solidFill>
              <w14:schemeClr w14:val="tx1"/>
            </w14:solidFill>
          </w14:textFill>
        </w:rPr>
        <w:t>规范管理市级行政事业单位经营性资产，确保资产安全、高效、稳定运营，实现资产保值增值和资产收益最大化，年度内合同签订数量数量≥470户，房屋租赁收入≥1200万元。</w:t>
      </w:r>
    </w:p>
    <w:p>
      <w:pPr>
        <w:adjustRightInd w:val="0"/>
        <w:snapToGrid w:val="0"/>
        <w:spacing w:line="600" w:lineRule="exact"/>
        <w:ind w:firstLine="640"/>
        <w:rPr>
          <w:rFonts w:ascii="仿宋_GB2312" w:hAnsi="仿宋"/>
          <w:color w:val="000000" w:themeColor="text1"/>
          <w:szCs w:val="32"/>
          <w14:textFill>
            <w14:solidFill>
              <w14:schemeClr w14:val="tx1"/>
            </w14:solidFill>
          </w14:textFill>
        </w:rPr>
      </w:pPr>
      <w:r>
        <w:rPr>
          <w:rFonts w:hint="eastAsia" w:ascii="楷体_GB2312" w:hAnsi="楷体_GB2312" w:eastAsia="楷体_GB2312" w:cs="楷体_GB2312"/>
          <w:color w:val="000000" w:themeColor="text1"/>
          <w:szCs w:val="32"/>
          <w14:textFill>
            <w14:solidFill>
              <w14:schemeClr w14:val="tx1"/>
            </w14:solidFill>
          </w14:textFill>
        </w:rPr>
        <w:t>2.</w:t>
      </w:r>
      <w:r>
        <w:rPr>
          <w:rFonts w:hint="eastAsia" w:ascii="楷体_GB2312" w:hAnsi="楷体_GB2312" w:eastAsia="楷体_GB2312" w:cs="楷体_GB2312"/>
          <w:color w:val="000000" w:themeColor="text1"/>
          <w:szCs w:val="32"/>
          <w:lang w:val="zh-CN"/>
          <w14:textFill>
            <w14:solidFill>
              <w14:schemeClr w14:val="tx1"/>
            </w14:solidFill>
          </w14:textFill>
        </w:rPr>
        <w:t>民生保障。</w:t>
      </w:r>
      <w:r>
        <w:rPr>
          <w:rFonts w:hint="eastAsia" w:ascii="仿宋_GB2312" w:hAnsi="宋体"/>
          <w:color w:val="000000" w:themeColor="text1"/>
          <w:szCs w:val="32"/>
          <w14:textFill>
            <w14:solidFill>
              <w14:schemeClr w14:val="tx1"/>
            </w14:solidFill>
          </w14:textFill>
        </w:rPr>
        <w:t>年度内资产安全检查次数≥4次，资产安全会议开展次数≥4次，承租户满意度≥98%。</w:t>
      </w:r>
    </w:p>
    <w:p>
      <w:pPr>
        <w:adjustRightInd w:val="0"/>
        <w:snapToGrid w:val="0"/>
        <w:spacing w:line="600" w:lineRule="exact"/>
        <w:ind w:firstLine="640"/>
        <w:rPr>
          <w:color w:val="000000" w:themeColor="text1"/>
          <w:szCs w:val="32"/>
          <w14:textFill>
            <w14:solidFill>
              <w14:schemeClr w14:val="tx1"/>
            </w14:solidFill>
          </w14:textFill>
        </w:rPr>
      </w:pPr>
      <w:r>
        <w:rPr>
          <w:rFonts w:hint="eastAsia" w:ascii="楷体_GB2312" w:hAnsi="楷体_GB2312" w:eastAsia="楷体_GB2312" w:cs="楷体_GB2312"/>
          <w:color w:val="000000" w:themeColor="text1"/>
          <w:szCs w:val="32"/>
          <w14:textFill>
            <w14:solidFill>
              <w14:schemeClr w14:val="tx1"/>
            </w14:solidFill>
          </w14:textFill>
        </w:rPr>
        <w:t>3.基础设施。</w:t>
      </w:r>
      <w:r>
        <w:rPr>
          <w:rFonts w:hint="eastAsia" w:ascii="仿宋_GB2312" w:hAnsi="宋体"/>
          <w:color w:val="000000" w:themeColor="text1"/>
          <w:szCs w:val="32"/>
          <w14:textFill>
            <w14:solidFill>
              <w14:schemeClr w14:val="tx1"/>
            </w14:solidFill>
          </w14:textFill>
        </w:rPr>
        <w:t>年度内资产运行稳定率≥95%。</w:t>
      </w:r>
    </w:p>
    <w:p>
      <w:pPr>
        <w:adjustRightInd w:val="0"/>
        <w:snapToGrid w:val="0"/>
        <w:spacing w:line="600" w:lineRule="exact"/>
        <w:ind w:firstLine="640"/>
        <w:rPr>
          <w:rFonts w:ascii="仿宋" w:hAnsi="仿宋"/>
          <w:color w:val="000000" w:themeColor="text1"/>
          <w:szCs w:val="32"/>
          <w14:textFill>
            <w14:solidFill>
              <w14:schemeClr w14:val="tx1"/>
            </w14:solidFill>
          </w14:textFill>
        </w:rPr>
      </w:pPr>
      <w:r>
        <w:rPr>
          <w:rFonts w:hint="eastAsia" w:ascii="楷体_GB2312" w:hAnsi="楷体_GB2312" w:eastAsia="楷体_GB2312" w:cs="楷体_GB2312"/>
          <w:color w:val="000000" w:themeColor="text1"/>
          <w:szCs w:val="32"/>
          <w14:textFill>
            <w14:solidFill>
              <w14:schemeClr w14:val="tx1"/>
            </w14:solidFill>
          </w14:textFill>
        </w:rPr>
        <w:t>4.</w:t>
      </w:r>
      <w:r>
        <w:rPr>
          <w:rFonts w:hint="eastAsia" w:ascii="楷体_GB2312" w:hAnsi="楷体_GB2312" w:eastAsia="楷体_GB2312" w:cs="楷体_GB2312"/>
          <w:color w:val="000000" w:themeColor="text1"/>
          <w:szCs w:val="32"/>
          <w:lang w:val="zh-CN"/>
          <w14:textFill>
            <w14:solidFill>
              <w14:schemeClr w14:val="tx1"/>
            </w14:solidFill>
          </w14:textFill>
        </w:rPr>
        <w:t>行政运转。</w:t>
      </w:r>
      <w:r>
        <w:rPr>
          <w:rFonts w:hint="eastAsia" w:ascii="仿宋_GB2312" w:hAnsi="宋体"/>
          <w:color w:val="000000" w:themeColor="text1"/>
          <w:szCs w:val="32"/>
          <w14:textFill>
            <w14:solidFill>
              <w14:schemeClr w14:val="tx1"/>
            </w14:solidFill>
          </w14:textFill>
        </w:rPr>
        <w:t>规范管理市级行政事业单位经营性资产，确保资产安全、高效、稳定运营，实现资产保值增值和资产收益最大化。</w:t>
      </w:r>
    </w:p>
    <w:p>
      <w:pPr>
        <w:adjustRightInd w:val="0"/>
        <w:snapToGrid w:val="0"/>
        <w:spacing w:line="600" w:lineRule="exact"/>
        <w:ind w:firstLine="640"/>
        <w:rPr>
          <w:rFonts w:ascii="仿宋_GB2312"/>
          <w:color w:val="000000" w:themeColor="text1"/>
          <w:szCs w:val="32"/>
          <w14:textFill>
            <w14:solidFill>
              <w14:schemeClr w14:val="tx1"/>
            </w14:solidFill>
          </w14:textFill>
        </w:rPr>
      </w:pPr>
      <w:r>
        <w:rPr>
          <w:rFonts w:hint="eastAsia" w:ascii="楷体_GB2312" w:hAnsi="宋体" w:eastAsia="楷体_GB2312"/>
          <w:b/>
          <w:color w:val="000000" w:themeColor="text1"/>
          <w:szCs w:val="32"/>
          <w:lang w:val="zh-CN"/>
          <w14:textFill>
            <w14:solidFill>
              <w14:schemeClr w14:val="tx1"/>
            </w14:solidFill>
          </w14:textFill>
        </w:rPr>
        <w:t>（三）</w:t>
      </w:r>
      <w:r>
        <w:rPr>
          <w:rFonts w:hint="eastAsia" w:ascii="楷体_GB2312" w:hAnsi="宋体" w:eastAsia="楷体_GB2312"/>
          <w:b/>
          <w:color w:val="000000" w:themeColor="text1"/>
          <w:szCs w:val="32"/>
          <w14:textFill>
            <w14:solidFill>
              <w14:schemeClr w14:val="tx1"/>
            </w14:solidFill>
          </w14:textFill>
        </w:rPr>
        <w:t>个性指标</w:t>
      </w:r>
      <w:r>
        <w:rPr>
          <w:rFonts w:eastAsia="楷体_GB2312"/>
          <w:b/>
          <w:bCs/>
          <w:color w:val="000000" w:themeColor="text1"/>
          <w:kern w:val="0"/>
          <w:szCs w:val="32"/>
          <w:shd w:val="clear" w:color="auto" w:fill="FFFFFF"/>
          <w:lang w:val="zh-CN"/>
          <w14:textFill>
            <w14:solidFill>
              <w14:schemeClr w14:val="tx1"/>
            </w14:solidFill>
          </w14:textFill>
        </w:rPr>
        <w:t>绩效分析。</w:t>
      </w:r>
      <w:r>
        <w:rPr>
          <w:rFonts w:hint="eastAsia" w:ascii="仿宋_GB2312"/>
          <w:color w:val="000000" w:themeColor="text1"/>
          <w:szCs w:val="32"/>
          <w:lang w:val="zh-CN"/>
          <w14:textFill>
            <w14:solidFill>
              <w14:schemeClr w14:val="tx1"/>
            </w14:solidFill>
          </w14:textFill>
        </w:rPr>
        <w:t>2023年度内使用专项资金23.3万元。</w:t>
      </w:r>
    </w:p>
    <w:p>
      <w:pPr>
        <w:adjustRightInd w:val="0"/>
        <w:snapToGrid w:val="0"/>
        <w:spacing w:line="600" w:lineRule="exact"/>
        <w:ind w:firstLine="640"/>
        <w:rPr>
          <w:rFonts w:ascii="黑体" w:hAnsi="黑体" w:eastAsia="黑体" w:cs="黑体"/>
          <w:bCs/>
          <w:color w:val="000000" w:themeColor="text1"/>
          <w:szCs w:val="32"/>
          <w14:textFill>
            <w14:solidFill>
              <w14:schemeClr w14:val="tx1"/>
            </w14:solidFill>
          </w14:textFill>
        </w:rPr>
      </w:pPr>
      <w:r>
        <w:rPr>
          <w:rFonts w:hint="eastAsia" w:ascii="黑体" w:hAnsi="黑体" w:eastAsia="黑体" w:cs="黑体"/>
          <w:bCs/>
          <w:color w:val="000000" w:themeColor="text1"/>
          <w:szCs w:val="32"/>
          <w14:textFill>
            <w14:solidFill>
              <w14:schemeClr w14:val="tx1"/>
            </w14:solidFill>
          </w14:textFill>
        </w:rPr>
        <w:t>四、评价结论</w:t>
      </w:r>
    </w:p>
    <w:p>
      <w:pPr>
        <w:adjustRightInd w:val="0"/>
        <w:snapToGrid w:val="0"/>
        <w:spacing w:line="600" w:lineRule="exact"/>
        <w:ind w:firstLine="640"/>
        <w:rPr>
          <w:rFonts w:ascii="仿宋" w:hAnsi="仿宋"/>
          <w:color w:val="000000" w:themeColor="text1"/>
          <w:szCs w:val="32"/>
          <w14:textFill>
            <w14:solidFill>
              <w14:schemeClr w14:val="tx1"/>
            </w14:solidFill>
          </w14:textFill>
        </w:rPr>
      </w:pPr>
      <w:r>
        <w:rPr>
          <w:rFonts w:hint="eastAsia" w:ascii="仿宋_GB2312"/>
          <w:color w:val="000000" w:themeColor="text1"/>
          <w:szCs w:val="32"/>
          <w14:textFill>
            <w14:solidFill>
              <w14:schemeClr w14:val="tx1"/>
            </w14:solidFill>
          </w14:textFill>
        </w:rPr>
        <w:t>部门自评预算执行得分10分，绩效指标得分90分，项目自评得分100分。年度内</w:t>
      </w:r>
      <w:r>
        <w:rPr>
          <w:rFonts w:hint="eastAsia" w:ascii="仿宋_GB2312" w:hAnsi="宋体"/>
          <w:color w:val="000000" w:themeColor="text1"/>
          <w:szCs w:val="32"/>
          <w14:textFill>
            <w14:solidFill>
              <w14:schemeClr w14:val="tx1"/>
            </w14:solidFill>
          </w14:textFill>
        </w:rPr>
        <w:t>合同签订数量数量≥470户，资产安全检查次数≥4次，资产安全会议开展次数≥4次，资产运行稳定率≥95%，承租户满意度≥98%，房屋租赁收入≥1200万元，</w:t>
      </w:r>
      <w:r>
        <w:rPr>
          <w:rFonts w:hint="eastAsia" w:ascii="仿宋_GB2312"/>
          <w:color w:val="000000" w:themeColor="text1"/>
          <w:szCs w:val="32"/>
          <w:lang w:val="zh-CN"/>
          <w14:textFill>
            <w14:solidFill>
              <w14:schemeClr w14:val="tx1"/>
            </w14:solidFill>
          </w14:textFill>
        </w:rPr>
        <w:t>使用专项资金23.3万元</w:t>
      </w:r>
      <w:r>
        <w:rPr>
          <w:rFonts w:hint="eastAsia" w:ascii="仿宋_GB2312" w:hAnsi="宋体"/>
          <w:color w:val="000000" w:themeColor="text1"/>
          <w:szCs w:val="32"/>
          <w14:textFill>
            <w14:solidFill>
              <w14:schemeClr w14:val="tx1"/>
            </w14:solidFill>
          </w14:textFill>
        </w:rPr>
        <w:t>。</w:t>
      </w:r>
    </w:p>
    <w:p>
      <w:pPr>
        <w:adjustRightInd w:val="0"/>
        <w:snapToGrid w:val="0"/>
        <w:spacing w:line="600" w:lineRule="exact"/>
        <w:ind w:firstLine="640"/>
        <w:rPr>
          <w:rFonts w:ascii="黑体" w:hAnsi="黑体" w:eastAsia="黑体" w:cs="黑体"/>
          <w:bCs/>
          <w:color w:val="000000" w:themeColor="text1"/>
          <w:szCs w:val="32"/>
          <w14:textFill>
            <w14:solidFill>
              <w14:schemeClr w14:val="tx1"/>
            </w14:solidFill>
          </w14:textFill>
        </w:rPr>
      </w:pPr>
      <w:r>
        <w:rPr>
          <w:rFonts w:hint="eastAsia" w:ascii="黑体" w:hAnsi="黑体" w:eastAsia="黑体" w:cs="黑体"/>
          <w:bCs/>
          <w:color w:val="000000" w:themeColor="text1"/>
          <w:szCs w:val="32"/>
          <w14:textFill>
            <w14:solidFill>
              <w14:schemeClr w14:val="tx1"/>
            </w14:solidFill>
          </w14:textFill>
        </w:rPr>
        <w:t>五、存在主要问题</w:t>
      </w:r>
    </w:p>
    <w:p>
      <w:pPr>
        <w:pStyle w:val="2"/>
        <w:adjustRightInd w:val="0"/>
        <w:snapToGrid w:val="0"/>
        <w:spacing w:before="93" w:line="600" w:lineRule="exact"/>
        <w:ind w:firstLine="640" w:firstLineChars="200"/>
        <w:rPr>
          <w:rFonts w:hAnsi="仿宋_GB2312" w:cs="仿宋_GB2312"/>
          <w:color w:val="000000" w:themeColor="text1"/>
          <w:kern w:val="2"/>
          <w:sz w:val="32"/>
          <w:szCs w:val="32"/>
          <w14:textFill>
            <w14:solidFill>
              <w14:schemeClr w14:val="tx1"/>
            </w14:solidFill>
          </w14:textFill>
        </w:rPr>
      </w:pPr>
      <w:r>
        <w:rPr>
          <w:rFonts w:hint="eastAsia" w:hAnsi="仿宋_GB2312" w:cs="仿宋_GB2312"/>
          <w:color w:val="000000" w:themeColor="text1"/>
          <w:kern w:val="2"/>
          <w:sz w:val="32"/>
          <w:szCs w:val="32"/>
          <w14:textFill>
            <w14:solidFill>
              <w14:schemeClr w14:val="tx1"/>
            </w14:solidFill>
          </w14:textFill>
        </w:rPr>
        <w:t>受市场因素的影响，承租户退租情况严重。</w:t>
      </w:r>
    </w:p>
    <w:p>
      <w:pPr>
        <w:adjustRightInd w:val="0"/>
        <w:snapToGrid w:val="0"/>
        <w:spacing w:line="600" w:lineRule="exact"/>
        <w:ind w:firstLine="640"/>
        <w:rPr>
          <w:rFonts w:ascii="黑体" w:hAnsi="黑体" w:eastAsia="黑体" w:cs="黑体"/>
          <w:bCs/>
          <w:color w:val="000000" w:themeColor="text1"/>
          <w:szCs w:val="32"/>
          <w14:textFill>
            <w14:solidFill>
              <w14:schemeClr w14:val="tx1"/>
            </w14:solidFill>
          </w14:textFill>
        </w:rPr>
      </w:pPr>
      <w:r>
        <w:rPr>
          <w:rFonts w:hint="eastAsia" w:ascii="黑体" w:hAnsi="黑体" w:eastAsia="黑体" w:cs="黑体"/>
          <w:bCs/>
          <w:color w:val="000000" w:themeColor="text1"/>
          <w:szCs w:val="32"/>
          <w14:textFill>
            <w14:solidFill>
              <w14:schemeClr w14:val="tx1"/>
            </w14:solidFill>
          </w14:textFill>
        </w:rPr>
        <w:t>六、改进建议</w:t>
      </w:r>
    </w:p>
    <w:p>
      <w:pPr>
        <w:adjustRightInd w:val="0"/>
        <w:snapToGrid w:val="0"/>
        <w:spacing w:line="600" w:lineRule="exact"/>
        <w:ind w:firstLine="640" w:firstLineChars="200"/>
        <w:rPr>
          <w:rFonts w:ascii="仿宋_GB2312" w:hAnsi="仿宋_GB2312" w:cs="仿宋_GB2312"/>
          <w:color w:val="000000" w:themeColor="text1"/>
          <w:szCs w:val="32"/>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加快退租资产进入公共资源交易平台招租办理力度，缩短退租资产空置时间。</w:t>
      </w:r>
    </w:p>
    <w:p>
      <w:pPr>
        <w:adjustRightInd w:val="0"/>
        <w:snapToGrid w:val="0"/>
        <w:spacing w:line="600" w:lineRule="exact"/>
        <w:ind w:firstLine="640" w:firstLineChars="200"/>
        <w:rPr>
          <w:rFonts w:ascii="仿宋_GB2312"/>
          <w:color w:val="000000" w:themeColor="text1"/>
          <w:kern w:val="0"/>
          <w:szCs w:val="32"/>
          <w:shd w:val="clear" w:color="auto" w:fill="FFFFFF"/>
          <w14:textFill>
            <w14:solidFill>
              <w14:schemeClr w14:val="tx1"/>
            </w14:solidFill>
          </w14:textFill>
        </w:rPr>
      </w:pPr>
    </w:p>
    <w:p>
      <w:pPr>
        <w:pStyle w:val="2"/>
        <w:spacing w:before="93" w:line="576" w:lineRule="exact"/>
      </w:pPr>
    </w:p>
    <w:p>
      <w:pPr>
        <w:pStyle w:val="2"/>
        <w:spacing w:before="93" w:line="576" w:lineRule="exact"/>
      </w:pPr>
    </w:p>
    <w:p>
      <w:pPr>
        <w:pStyle w:val="38"/>
        <w:adjustRightInd w:val="0"/>
        <w:snapToGrid w:val="0"/>
        <w:spacing w:line="600" w:lineRule="exact"/>
        <w:jc w:val="center"/>
        <w:rPr>
          <w:rFonts w:hint="eastAsia" w:ascii="方正小标宋简体" w:hAnsi="新宋体" w:eastAsia="方正小标宋简体" w:cs="方正小标宋简体"/>
          <w:color w:val="000000" w:themeColor="text1"/>
          <w:sz w:val="40"/>
          <w:szCs w:val="40"/>
          <w14:textFill>
            <w14:solidFill>
              <w14:schemeClr w14:val="tx1"/>
            </w14:solidFill>
          </w14:textFill>
        </w:rPr>
      </w:pPr>
    </w:p>
    <w:p>
      <w:pPr>
        <w:pStyle w:val="38"/>
        <w:adjustRightInd w:val="0"/>
        <w:snapToGrid w:val="0"/>
        <w:spacing w:line="600" w:lineRule="exact"/>
        <w:jc w:val="center"/>
        <w:rPr>
          <w:rFonts w:ascii="方正小标宋简体" w:hAnsi="新宋体" w:eastAsia="方正小标宋简体" w:cs="方正小标宋简体"/>
          <w:color w:val="000000" w:themeColor="text1"/>
          <w:sz w:val="40"/>
          <w:szCs w:val="40"/>
          <w14:textFill>
            <w14:solidFill>
              <w14:schemeClr w14:val="tx1"/>
            </w14:solidFill>
          </w14:textFill>
        </w:rPr>
      </w:pPr>
      <w:bookmarkStart w:id="113" w:name="_GoBack"/>
      <w:bookmarkEnd w:id="113"/>
      <w:r>
        <w:rPr>
          <w:rFonts w:hint="eastAsia" w:ascii="方正小标宋简体" w:hAnsi="新宋体" w:eastAsia="方正小标宋简体" w:cs="方正小标宋简体"/>
          <w:color w:val="000000" w:themeColor="text1"/>
          <w:sz w:val="40"/>
          <w:szCs w:val="40"/>
          <w14:textFill>
            <w14:solidFill>
              <w14:schemeClr w14:val="tx1"/>
            </w14:solidFill>
          </w14:textFill>
        </w:rPr>
        <w:t>2023年</w:t>
      </w:r>
      <w:r>
        <w:rPr>
          <w:rFonts w:hint="eastAsia" w:ascii="方正小标宋简体" w:hAnsi="新宋体" w:eastAsia="方正小标宋简体" w:cs="方正小标宋简体"/>
          <w:color w:val="000000" w:themeColor="text1"/>
          <w:sz w:val="40"/>
          <w:szCs w:val="40"/>
          <w:shd w:val="clear" w:color="auto" w:fill="FFFFFF"/>
          <w14:textFill>
            <w14:solidFill>
              <w14:schemeClr w14:val="tx1"/>
            </w14:solidFill>
          </w14:textFill>
        </w:rPr>
        <w:t>市级专项资金预算</w:t>
      </w:r>
      <w:r>
        <w:rPr>
          <w:rFonts w:hint="eastAsia" w:ascii="方正小标宋简体" w:hAnsi="新宋体" w:eastAsia="方正小标宋简体" w:cs="方正小标宋简体"/>
          <w:color w:val="000000" w:themeColor="text1"/>
          <w:sz w:val="40"/>
          <w:szCs w:val="40"/>
          <w14:textFill>
            <w14:solidFill>
              <w14:schemeClr w14:val="tx1"/>
            </w14:solidFill>
          </w14:textFill>
        </w:rPr>
        <w:t>项目支出绩效</w:t>
      </w:r>
    </w:p>
    <w:p>
      <w:pPr>
        <w:pStyle w:val="38"/>
        <w:adjustRightInd w:val="0"/>
        <w:snapToGrid w:val="0"/>
        <w:spacing w:line="600" w:lineRule="exact"/>
        <w:jc w:val="center"/>
        <w:rPr>
          <w:rFonts w:ascii="方正小标宋简体" w:hAnsi="新宋体" w:eastAsia="方正小标宋简体" w:cs="方正小标宋简体"/>
          <w:color w:val="000000" w:themeColor="text1"/>
          <w:sz w:val="40"/>
          <w:szCs w:val="40"/>
          <w14:textFill>
            <w14:solidFill>
              <w14:schemeClr w14:val="tx1"/>
            </w14:solidFill>
          </w14:textFill>
        </w:rPr>
      </w:pPr>
      <w:r>
        <w:rPr>
          <w:rFonts w:hint="eastAsia" w:ascii="方正小标宋简体" w:hAnsi="新宋体" w:eastAsia="方正小标宋简体" w:cs="方正小标宋简体"/>
          <w:color w:val="000000" w:themeColor="text1"/>
          <w:sz w:val="40"/>
          <w:szCs w:val="40"/>
          <w14:textFill>
            <w14:solidFill>
              <w14:schemeClr w14:val="tx1"/>
            </w14:solidFill>
          </w14:textFill>
        </w:rPr>
        <w:t>自评报告</w:t>
      </w:r>
    </w:p>
    <w:p>
      <w:pPr>
        <w:adjustRightInd w:val="0"/>
        <w:snapToGrid w:val="0"/>
        <w:spacing w:line="600" w:lineRule="exact"/>
        <w:jc w:val="center"/>
        <w:rPr>
          <w:rFonts w:ascii="楷体_GB2312" w:hAnsi="楷体_GB2312" w:eastAsia="楷体_GB2312" w:cs="楷体_GB2312"/>
          <w:color w:val="000000" w:themeColor="text1"/>
          <w:szCs w:val="32"/>
          <w14:textFill>
            <w14:solidFill>
              <w14:schemeClr w14:val="tx1"/>
            </w14:solidFill>
          </w14:textFill>
        </w:rPr>
      </w:pPr>
      <w:r>
        <w:rPr>
          <w:rFonts w:hint="eastAsia" w:ascii="楷体_GB2312" w:hAnsi="楷体_GB2312" w:eastAsia="楷体_GB2312" w:cs="楷体_GB2312"/>
          <w:color w:val="000000" w:themeColor="text1"/>
          <w:szCs w:val="32"/>
          <w14:textFill>
            <w14:solidFill>
              <w14:schemeClr w14:val="tx1"/>
            </w14:solidFill>
          </w14:textFill>
        </w:rPr>
        <w:t>（</w:t>
      </w:r>
      <w:r>
        <w:rPr>
          <w:rFonts w:hint="eastAsia" w:ascii="楷体_GB2312" w:eastAsia="楷体_GB2312"/>
          <w:color w:val="000000" w:themeColor="text1"/>
          <w:szCs w:val="32"/>
          <w14:textFill>
            <w14:solidFill>
              <w14:schemeClr w14:val="tx1"/>
            </w14:solidFill>
          </w14:textFill>
        </w:rPr>
        <w:t>资产维修维护费项目</w:t>
      </w:r>
      <w:r>
        <w:rPr>
          <w:rFonts w:hint="eastAsia" w:ascii="楷体_GB2312" w:hAnsi="楷体_GB2312" w:eastAsia="楷体_GB2312" w:cs="楷体_GB2312"/>
          <w:color w:val="000000" w:themeColor="text1"/>
          <w:szCs w:val="32"/>
          <w14:textFill>
            <w14:solidFill>
              <w14:schemeClr w14:val="tx1"/>
            </w14:solidFill>
          </w14:textFill>
        </w:rPr>
        <w:t>）</w:t>
      </w:r>
    </w:p>
    <w:p>
      <w:pPr>
        <w:adjustRightInd w:val="0"/>
        <w:snapToGrid w:val="0"/>
        <w:spacing w:line="600" w:lineRule="exact"/>
        <w:jc w:val="center"/>
        <w:rPr>
          <w:rFonts w:ascii="楷体_GB2312" w:hAnsi="楷体_GB2312" w:eastAsia="楷体_GB2312" w:cs="楷体_GB2312"/>
          <w:color w:val="000000" w:themeColor="text1"/>
          <w:szCs w:val="32"/>
          <w14:textFill>
            <w14:solidFill>
              <w14:schemeClr w14:val="tx1"/>
            </w14:solidFill>
          </w14:textFill>
        </w:rPr>
      </w:pPr>
    </w:p>
    <w:p>
      <w:pPr>
        <w:numPr>
          <w:ilvl w:val="0"/>
          <w:numId w:val="9"/>
        </w:numPr>
        <w:adjustRightInd w:val="0"/>
        <w:snapToGrid w:val="0"/>
        <w:spacing w:line="600" w:lineRule="exact"/>
        <w:ind w:left="1360" w:hanging="720"/>
        <w:rPr>
          <w:rFonts w:ascii="黑体" w:hAnsi="宋体" w:eastAsia="黑体"/>
          <w:color w:val="000000" w:themeColor="text1"/>
          <w:szCs w:val="32"/>
          <w:lang w:val="zh-CN"/>
          <w14:textFill>
            <w14:solidFill>
              <w14:schemeClr w14:val="tx1"/>
            </w14:solidFill>
          </w14:textFill>
        </w:rPr>
      </w:pPr>
      <w:r>
        <w:rPr>
          <w:rFonts w:hint="eastAsia" w:ascii="黑体" w:hAnsi="宋体" w:eastAsia="黑体"/>
          <w:color w:val="000000" w:themeColor="text1"/>
          <w:szCs w:val="32"/>
          <w:lang w:val="zh-CN"/>
          <w14:textFill>
            <w14:solidFill>
              <w14:schemeClr w14:val="tx1"/>
            </w14:solidFill>
          </w14:textFill>
        </w:rPr>
        <w:t>项目概况</w:t>
      </w:r>
    </w:p>
    <w:p>
      <w:pPr>
        <w:adjustRightInd w:val="0"/>
        <w:snapToGrid w:val="0"/>
        <w:spacing w:line="600" w:lineRule="exact"/>
        <w:ind w:firstLine="643"/>
        <w:rPr>
          <w:rFonts w:ascii="楷体_GB2312" w:hAnsi="楷体_GB2312" w:eastAsia="楷体_GB2312" w:cs="楷体_GB2312"/>
          <w:b/>
          <w:bCs/>
          <w:color w:val="000000" w:themeColor="text1"/>
          <w:szCs w:val="32"/>
          <w:lang w:val="zh-CN"/>
          <w14:textFill>
            <w14:solidFill>
              <w14:schemeClr w14:val="tx1"/>
            </w14:solidFill>
          </w14:textFill>
        </w:rPr>
      </w:pPr>
      <w:r>
        <w:rPr>
          <w:rFonts w:hint="eastAsia" w:ascii="楷体_GB2312" w:hAnsi="楷体_GB2312" w:eastAsia="楷体_GB2312" w:cs="楷体_GB2312"/>
          <w:b/>
          <w:bCs/>
          <w:color w:val="000000" w:themeColor="text1"/>
          <w:szCs w:val="32"/>
          <w:lang w:val="zh-CN"/>
          <w14:textFill>
            <w14:solidFill>
              <w14:schemeClr w14:val="tx1"/>
            </w14:solidFill>
          </w14:textFill>
        </w:rPr>
        <w:t>（一）项目设立背景及基本情况。</w:t>
      </w:r>
      <w:r>
        <w:rPr>
          <w:rFonts w:hint="eastAsia" w:ascii="仿宋_GB2312" w:hAnsi="宋体"/>
          <w:color w:val="000000" w:themeColor="text1"/>
          <w:szCs w:val="32"/>
          <w:lang w:val="zh-CN"/>
          <w14:textFill>
            <w14:solidFill>
              <w14:schemeClr w14:val="tx1"/>
            </w14:solidFill>
          </w14:textFill>
        </w:rPr>
        <w:t>严格按照市国资委、市财政局</w:t>
      </w:r>
      <w:r>
        <w:rPr>
          <w:rFonts w:hint="eastAsia" w:ascii="仿宋_GB2312" w:hAnsi="宋体"/>
          <w:color w:val="000000" w:themeColor="text1"/>
          <w:szCs w:val="32"/>
          <w14:textFill>
            <w14:solidFill>
              <w14:schemeClr w14:val="tx1"/>
            </w14:solidFill>
          </w14:textFill>
        </w:rPr>
        <w:t>《关于同意〈租赁房屋维护维修管理办法〉的批复》（广国资委函〔2016〕139号）文件</w:t>
      </w:r>
      <w:r>
        <w:rPr>
          <w:rFonts w:hint="eastAsia" w:ascii="仿宋_GB2312" w:hAnsi="宋体"/>
          <w:color w:val="000000" w:themeColor="text1"/>
          <w:szCs w:val="32"/>
          <w:lang w:val="zh-CN"/>
          <w14:textFill>
            <w14:solidFill>
              <w14:schemeClr w14:val="tx1"/>
            </w14:solidFill>
          </w14:textFill>
        </w:rPr>
        <w:t>相关规定，</w:t>
      </w:r>
      <w:r>
        <w:rPr>
          <w:rFonts w:hint="eastAsia" w:ascii="仿宋_GB2312" w:hAnsi="宋体"/>
          <w:color w:val="000000" w:themeColor="text1"/>
          <w:szCs w:val="32"/>
          <w14:textFill>
            <w14:solidFill>
              <w14:schemeClr w14:val="tx1"/>
            </w14:solidFill>
          </w14:textFill>
        </w:rPr>
        <w:t>编制资产维修维护费预算。</w:t>
      </w:r>
    </w:p>
    <w:p>
      <w:pPr>
        <w:adjustRightInd w:val="0"/>
        <w:snapToGrid w:val="0"/>
        <w:spacing w:line="600" w:lineRule="exact"/>
        <w:ind w:firstLine="642" w:firstLineChars="200"/>
        <w:rPr>
          <w:rFonts w:ascii="仿宋_GB2312" w:hAnsi="宋体"/>
          <w:color w:val="000000" w:themeColor="text1"/>
          <w:szCs w:val="32"/>
          <w14:textFill>
            <w14:solidFill>
              <w14:schemeClr w14:val="tx1"/>
            </w14:solidFill>
          </w14:textFill>
        </w:rPr>
      </w:pPr>
      <w:r>
        <w:rPr>
          <w:rFonts w:hint="eastAsia" w:ascii="楷体_GB2312" w:hAnsi="宋体" w:eastAsia="楷体_GB2312"/>
          <w:b/>
          <w:szCs w:val="32"/>
          <w:lang w:val="zh-CN"/>
        </w:rPr>
        <w:t>（二）</w:t>
      </w:r>
      <w:r>
        <w:rPr>
          <w:rFonts w:ascii="楷体_GB2312" w:hAnsi="宋体" w:eastAsia="楷体_GB2312"/>
          <w:b/>
          <w:szCs w:val="32"/>
        </w:rPr>
        <w:t>实施目的及支持方向</w:t>
      </w:r>
      <w:r>
        <w:rPr>
          <w:rFonts w:hint="eastAsia" w:ascii="楷体_GB2312" w:hAnsi="宋体" w:eastAsia="楷体_GB2312"/>
          <w:b/>
          <w:szCs w:val="32"/>
        </w:rPr>
        <w:t>。</w:t>
      </w:r>
      <w:r>
        <w:rPr>
          <w:rFonts w:hint="eastAsia" w:ascii="仿宋_GB2312" w:hAnsi="宋体"/>
          <w:color w:val="000000" w:themeColor="text1"/>
          <w:szCs w:val="32"/>
          <w14:textFill>
            <w14:solidFill>
              <w14:schemeClr w14:val="tx1"/>
            </w14:solidFill>
          </w14:textFill>
        </w:rPr>
        <w:t>为保障我单位统一管理的市级行政事业单位经营性资产正常租赁，安全高效运营，对管理范围内的租赁房屋及附属设施进行日常的维修维护、防水治漏、消防治理、电路电线老化改造等。</w:t>
      </w:r>
    </w:p>
    <w:p>
      <w:pPr>
        <w:adjustRightInd w:val="0"/>
        <w:snapToGrid w:val="0"/>
        <w:spacing w:line="600" w:lineRule="exact"/>
        <w:ind w:firstLine="640"/>
        <w:rPr>
          <w:rFonts w:ascii="楷体_GB2312" w:hAnsi="宋体" w:eastAsia="楷体_GB2312"/>
          <w:b/>
          <w:szCs w:val="32"/>
          <w:lang w:val="zh-CN"/>
        </w:rPr>
      </w:pPr>
      <w:r>
        <w:rPr>
          <w:rFonts w:hint="eastAsia" w:ascii="楷体_GB2312" w:hAnsi="宋体" w:eastAsia="楷体_GB2312"/>
          <w:b/>
          <w:szCs w:val="32"/>
          <w:lang w:val="zh-CN"/>
        </w:rPr>
        <w:t>（三）</w:t>
      </w:r>
      <w:r>
        <w:rPr>
          <w:rFonts w:ascii="楷体_GB2312" w:hAnsi="宋体" w:eastAsia="楷体_GB2312"/>
          <w:b/>
          <w:szCs w:val="32"/>
        </w:rPr>
        <w:t>预算安排及分配管理</w:t>
      </w:r>
      <w:r>
        <w:rPr>
          <w:rFonts w:hint="eastAsia" w:ascii="楷体_GB2312" w:hAnsi="宋体" w:eastAsia="楷体_GB2312"/>
          <w:b/>
          <w:szCs w:val="32"/>
          <w:lang w:val="zh-CN"/>
        </w:rPr>
        <w:t>。</w:t>
      </w:r>
      <w:r>
        <w:rPr>
          <w:rFonts w:hint="eastAsia" w:ascii="仿宋_GB2312" w:hAnsi="宋体"/>
          <w:color w:val="000000" w:themeColor="text1"/>
          <w:szCs w:val="32"/>
          <w14:textFill>
            <w14:solidFill>
              <w14:schemeClr w14:val="tx1"/>
            </w14:solidFill>
          </w14:textFill>
        </w:rPr>
        <w:t>市财政局批复我单位2023年资产维修维护费预算10万元。项目资金到位后，严格按照《租赁房屋维护维修管理办法》相关规定，全部资金均用于该项目支出。2023年实际使用该项目资金10万元。</w:t>
      </w:r>
    </w:p>
    <w:p>
      <w:pPr>
        <w:adjustRightInd w:val="0"/>
        <w:snapToGrid w:val="0"/>
        <w:spacing w:line="600" w:lineRule="exact"/>
        <w:ind w:firstLine="640"/>
        <w:rPr>
          <w:rFonts w:ascii="楷体_GB2312" w:hAnsi="宋体" w:eastAsia="楷体_GB2312"/>
          <w:b/>
          <w:szCs w:val="32"/>
          <w:lang w:val="zh-CN"/>
        </w:rPr>
      </w:pPr>
      <w:r>
        <w:rPr>
          <w:rFonts w:hint="eastAsia" w:ascii="楷体_GB2312" w:hAnsi="宋体" w:eastAsia="楷体_GB2312"/>
          <w:b/>
          <w:szCs w:val="32"/>
          <w:lang w:val="zh-CN"/>
        </w:rPr>
        <w:t>（四）项目绩效目标设置。</w:t>
      </w:r>
      <w:r>
        <w:rPr>
          <w:rFonts w:hint="eastAsia" w:ascii="仿宋_GB2312" w:hAnsi="宋体"/>
          <w:color w:val="000000" w:themeColor="text1"/>
          <w:szCs w:val="32"/>
          <w14:textFill>
            <w14:solidFill>
              <w14:schemeClr w14:val="tx1"/>
            </w14:solidFill>
          </w14:textFill>
        </w:rPr>
        <w:t>我单位认真填报《2023年预算项目支出绩效目标申报表》，编制资产维修维护费预算。市财政局批复我单位2023年资产维修维护费预算经费10万元。一是对管理范围内的租赁房屋及附属设施进行日常的维修维护、防水治漏、电路电线老化改造等，发现房屋安全隐患及时处置，确保资产安全运营；二是对维修工程严格按照《建筑施工规范》执行，确保竣工验收合格率100%。</w:t>
      </w:r>
    </w:p>
    <w:p>
      <w:pPr>
        <w:adjustRightInd w:val="0"/>
        <w:snapToGrid w:val="0"/>
        <w:spacing w:line="578" w:lineRule="exact"/>
        <w:ind w:firstLine="640" w:firstLineChars="200"/>
        <w:rPr>
          <w:rFonts w:ascii="黑体" w:hAnsi="宋体" w:eastAsia="黑体"/>
          <w:szCs w:val="32"/>
        </w:rPr>
      </w:pPr>
      <w:r>
        <w:rPr>
          <w:rFonts w:hint="eastAsia" w:ascii="黑体" w:hAnsi="宋体" w:eastAsia="黑体"/>
          <w:szCs w:val="32"/>
        </w:rPr>
        <w:t>二、评价实施</w:t>
      </w:r>
    </w:p>
    <w:p>
      <w:pPr>
        <w:adjustRightInd w:val="0"/>
        <w:snapToGrid w:val="0"/>
        <w:spacing w:line="600" w:lineRule="exact"/>
        <w:ind w:firstLine="643"/>
        <w:rPr>
          <w:rFonts w:ascii="楷体_GB2312" w:hAnsi="楷体_GB2312" w:eastAsia="楷体_GB2312" w:cs="楷体_GB2312"/>
          <w:b/>
          <w:bCs/>
          <w:color w:val="000000" w:themeColor="text1"/>
          <w:szCs w:val="32"/>
          <w:lang w:val="zh-CN"/>
          <w14:textFill>
            <w14:solidFill>
              <w14:schemeClr w14:val="tx1"/>
            </w14:solidFill>
          </w14:textFill>
        </w:rPr>
      </w:pPr>
      <w:r>
        <w:rPr>
          <w:rFonts w:hint="eastAsia" w:ascii="楷体_GB2312" w:hAnsi="宋体" w:eastAsia="楷体_GB2312"/>
          <w:b/>
          <w:szCs w:val="32"/>
          <w:lang w:val="zh-CN"/>
        </w:rPr>
        <w:t>（一）评价目的。</w:t>
      </w:r>
      <w:r>
        <w:rPr>
          <w:rFonts w:hint="eastAsia" w:ascii="仿宋_GB2312" w:hAnsi="宋体"/>
          <w:color w:val="000000" w:themeColor="text1"/>
          <w:szCs w:val="32"/>
          <w:lang w:val="zh-CN"/>
          <w14:textFill>
            <w14:solidFill>
              <w14:schemeClr w14:val="tx1"/>
            </w14:solidFill>
          </w14:textFill>
        </w:rPr>
        <w:t>严格界定维修范围，规范维修程序，坚持厉行节约原则，规范使用财政维修资金，严格施工管理及验收管理，确保管理范围内国有资产安全运行。</w:t>
      </w:r>
    </w:p>
    <w:p>
      <w:pPr>
        <w:adjustRightInd w:val="0"/>
        <w:snapToGrid w:val="0"/>
        <w:spacing w:line="600" w:lineRule="exact"/>
        <w:ind w:firstLine="640"/>
        <w:rPr>
          <w:rFonts w:ascii="仿宋_GB2312" w:hAnsi="仿宋"/>
          <w:color w:val="000000" w:themeColor="text1"/>
          <w:szCs w:val="32"/>
          <w14:textFill>
            <w14:solidFill>
              <w14:schemeClr w14:val="tx1"/>
            </w14:solidFill>
          </w14:textFill>
        </w:rPr>
      </w:pPr>
      <w:r>
        <w:rPr>
          <w:rFonts w:hint="eastAsia" w:ascii="楷体_GB2312" w:hAnsi="宋体" w:eastAsia="楷体_GB2312"/>
          <w:b/>
          <w:szCs w:val="32"/>
          <w:lang w:val="zh-CN"/>
        </w:rPr>
        <w:t>（二）预设问题及评价重点。</w:t>
      </w:r>
      <w:r>
        <w:rPr>
          <w:rFonts w:hint="eastAsia" w:ascii="仿宋_GB2312" w:hAnsi="宋体"/>
          <w:color w:val="000000" w:themeColor="text1"/>
          <w:szCs w:val="32"/>
          <w:lang w:val="zh-CN"/>
          <w14:textFill>
            <w14:solidFill>
              <w14:schemeClr w14:val="tx1"/>
            </w14:solidFill>
          </w14:textFill>
        </w:rPr>
        <w:t>项目主要内容</w:t>
      </w:r>
      <w:r>
        <w:rPr>
          <w:rFonts w:hint="eastAsia" w:ascii="仿宋_GB2312" w:hAnsi="宋体"/>
          <w:color w:val="000000" w:themeColor="text1"/>
          <w:szCs w:val="32"/>
          <w14:textFill>
            <w14:solidFill>
              <w14:schemeClr w14:val="tx1"/>
            </w14:solidFill>
          </w14:textFill>
        </w:rPr>
        <w:t>包括年度内维修维护房屋及附属设施设备数量≤10户，资产维修验收合格率100%，维修及时率≥98%，承租户满意度≥98%。</w:t>
      </w:r>
    </w:p>
    <w:p>
      <w:pPr>
        <w:adjustRightInd w:val="0"/>
        <w:snapToGrid w:val="0"/>
        <w:spacing w:line="578" w:lineRule="exact"/>
        <w:ind w:firstLine="642" w:firstLineChars="200"/>
        <w:rPr>
          <w:szCs w:val="32"/>
          <w:lang w:val="zh-CN"/>
        </w:rPr>
      </w:pPr>
      <w:r>
        <w:rPr>
          <w:rFonts w:hint="eastAsia" w:ascii="楷体_GB2312" w:hAnsi="宋体" w:eastAsia="楷体_GB2312"/>
          <w:b/>
          <w:szCs w:val="32"/>
          <w:lang w:val="zh-CN"/>
        </w:rPr>
        <w:t>（三）评价选点。</w:t>
      </w:r>
      <w:r>
        <w:rPr>
          <w:rFonts w:hint="eastAsia" w:ascii="仿宋_GB2312" w:hAnsi="宋体"/>
          <w:color w:val="000000" w:themeColor="text1"/>
          <w:szCs w:val="32"/>
          <w14:textFill>
            <w14:solidFill>
              <w14:schemeClr w14:val="tx1"/>
            </w14:solidFill>
          </w14:textFill>
        </w:rPr>
        <w:t>按年初财政批复的预算项目支出绩效目标，</w:t>
      </w:r>
      <w:r>
        <w:rPr>
          <w:rFonts w:hint="eastAsia" w:ascii="仿宋_GB2312"/>
          <w:szCs w:val="32"/>
          <w:lang w:val="zh-CN"/>
        </w:rPr>
        <w:t>项目绩效自评</w:t>
      </w:r>
      <w:r>
        <w:rPr>
          <w:rFonts w:hint="eastAsia" w:ascii="仿宋_GB2312" w:hAnsi="宋体"/>
          <w:color w:val="000000" w:themeColor="text1"/>
          <w:szCs w:val="32"/>
          <w14:textFill>
            <w14:solidFill>
              <w14:schemeClr w14:val="tx1"/>
            </w14:solidFill>
          </w14:textFill>
        </w:rPr>
        <w:t>使用资产维修维护费控制在10万元内</w:t>
      </w:r>
      <w:r>
        <w:rPr>
          <w:rFonts w:hint="eastAsia" w:ascii="仿宋_GB2312"/>
          <w:szCs w:val="32"/>
          <w:lang w:val="zh-CN"/>
        </w:rPr>
        <w:t>。</w:t>
      </w:r>
      <w:r>
        <w:rPr>
          <w:rFonts w:hint="eastAsia" w:ascii="仿宋_GB2312" w:hAnsi="宋体"/>
          <w:color w:val="000000" w:themeColor="text1"/>
          <w:szCs w:val="32"/>
          <w14:textFill>
            <w14:solidFill>
              <w14:schemeClr w14:val="tx1"/>
            </w14:solidFill>
          </w14:textFill>
        </w:rPr>
        <w:t>预算资金执行比率及实际完成指标值计算自评得分100分。</w:t>
      </w:r>
    </w:p>
    <w:p>
      <w:pPr>
        <w:spacing w:line="578" w:lineRule="exact"/>
        <w:ind w:firstLine="640"/>
        <w:rPr>
          <w:szCs w:val="32"/>
        </w:rPr>
      </w:pPr>
      <w:r>
        <w:rPr>
          <w:rFonts w:hint="eastAsia" w:ascii="楷体_GB2312" w:hAnsi="宋体" w:eastAsia="楷体_GB2312"/>
          <w:b/>
          <w:szCs w:val="32"/>
          <w:lang w:val="zh-CN"/>
        </w:rPr>
        <w:t>（四）评价方法。</w:t>
      </w:r>
      <w:r>
        <w:rPr>
          <w:rFonts w:hint="eastAsia" w:ascii="仿宋_GB2312"/>
          <w:szCs w:val="32"/>
        </w:rPr>
        <w:t>根据项目情况和评价重点，用来收集相关材料和开展具体评价的方法。包括：采用成本效益分析法、单位自评法、实地勘察法、问卷调查法等多种方法。</w:t>
      </w:r>
    </w:p>
    <w:p>
      <w:pPr>
        <w:adjustRightInd w:val="0"/>
        <w:snapToGrid w:val="0"/>
        <w:spacing w:line="600" w:lineRule="exact"/>
        <w:ind w:firstLine="642" w:firstLineChars="200"/>
        <w:rPr>
          <w:rFonts w:ascii="仿宋_GB2312" w:hAnsi="仿宋_GB2312" w:cs="仿宋_GB2312"/>
          <w:bCs/>
          <w:color w:val="000000" w:themeColor="text1"/>
          <w:kern w:val="0"/>
          <w:szCs w:val="32"/>
          <w14:textFill>
            <w14:solidFill>
              <w14:schemeClr w14:val="tx1"/>
            </w14:solidFill>
          </w14:textFill>
        </w:rPr>
      </w:pPr>
      <w:r>
        <w:rPr>
          <w:rFonts w:hint="eastAsia" w:ascii="楷体_GB2312" w:hAnsi="宋体" w:eastAsia="楷体_GB2312"/>
          <w:b/>
          <w:szCs w:val="32"/>
          <w:lang w:val="zh-CN"/>
        </w:rPr>
        <w:t>（五）评价组织。</w:t>
      </w:r>
      <w:r>
        <w:rPr>
          <w:rFonts w:hint="eastAsia" w:ascii="仿宋_GB2312"/>
          <w:szCs w:val="32"/>
        </w:rPr>
        <w:t>评价组人员构成资产科室及财务科人员。</w:t>
      </w:r>
      <w:r>
        <w:rPr>
          <w:rFonts w:hint="eastAsia" w:ascii="仿宋_GB2312" w:hAnsi="宋体"/>
          <w:color w:val="000000" w:themeColor="text1"/>
          <w:szCs w:val="32"/>
          <w:lang w:val="zh-CN"/>
          <w14:textFill>
            <w14:solidFill>
              <w14:schemeClr w14:val="tx1"/>
            </w14:solidFill>
          </w14:textFill>
        </w:rPr>
        <w:t>财务人员岗位分工明确，内部财务管理制度完善，会计核算准确，会计档案管理规范，资金管理流程科学。在项目资金管理、使用上，坚持专款专用，量入为出的原则，各项专用资金使用正确，并达到预期目的。严格票据审核，每笔资金的支出都实行了统一申报项目资金计划，审批后按财务制度在</w:t>
      </w:r>
      <w:r>
        <w:rPr>
          <w:rFonts w:hint="eastAsia" w:ascii="仿宋_GB2312" w:hAnsi="宋体"/>
          <w:color w:val="000000" w:themeColor="text1"/>
          <w:szCs w:val="32"/>
          <w14:textFill>
            <w14:solidFill>
              <w14:schemeClr w14:val="tx1"/>
            </w14:solidFill>
          </w14:textFill>
        </w:rPr>
        <w:t>财政预算一体化管理信息系统审批</w:t>
      </w:r>
      <w:r>
        <w:rPr>
          <w:rFonts w:hint="eastAsia" w:ascii="仿宋_GB2312" w:hAnsi="宋体"/>
          <w:color w:val="000000" w:themeColor="text1"/>
          <w:szCs w:val="32"/>
          <w:lang w:val="zh-CN"/>
          <w14:textFill>
            <w14:solidFill>
              <w14:schemeClr w14:val="tx1"/>
            </w14:solidFill>
          </w14:textFill>
        </w:rPr>
        <w:t>支付。资产科室负责资产维修范围界定、委托中介机构编制预算、</w:t>
      </w:r>
      <w:r>
        <w:rPr>
          <w:rFonts w:hint="eastAsia" w:ascii="仿宋_GB2312" w:hAnsi="楷体_GB2312" w:cs="楷体_GB2312"/>
          <w:bCs/>
          <w:color w:val="000000" w:themeColor="text1"/>
          <w:szCs w:val="32"/>
          <w:lang w:val="zh-CN"/>
          <w14:textFill>
            <w14:solidFill>
              <w14:schemeClr w14:val="tx1"/>
            </w14:solidFill>
          </w14:textFill>
        </w:rPr>
        <w:t>向市国资委报送维修请示、</w:t>
      </w:r>
      <w:r>
        <w:rPr>
          <w:rFonts w:hint="eastAsia" w:ascii="仿宋_GB2312"/>
          <w:color w:val="000000" w:themeColor="text1"/>
          <w:szCs w:val="32"/>
          <w14:textFill>
            <w14:solidFill>
              <w14:schemeClr w14:val="tx1"/>
            </w14:solidFill>
          </w14:textFill>
        </w:rPr>
        <w:t>按程序选定施工单位、监督施工</w:t>
      </w:r>
      <w:r>
        <w:rPr>
          <w:rFonts w:hint="eastAsia" w:ascii="仿宋_GB2312" w:hAnsi="方正仿宋_GBK" w:cs="方正仿宋_GBK"/>
          <w:color w:val="000000" w:themeColor="text1"/>
          <w:szCs w:val="32"/>
          <w14:textFill>
            <w14:solidFill>
              <w14:schemeClr w14:val="tx1"/>
            </w14:solidFill>
          </w14:textFill>
        </w:rPr>
        <w:t>安全、组织工程验收、委托中介机构编制竣工决算</w:t>
      </w:r>
      <w:r>
        <w:rPr>
          <w:rFonts w:hint="eastAsia" w:ascii="仿宋_GB2312" w:hAnsi="宋体"/>
          <w:color w:val="000000" w:themeColor="text1"/>
          <w:szCs w:val="32"/>
          <w:lang w:val="zh-CN"/>
          <w14:textFill>
            <w14:solidFill>
              <w14:schemeClr w14:val="tx1"/>
            </w14:solidFill>
          </w14:textFill>
        </w:rPr>
        <w:t>等事项。</w:t>
      </w:r>
    </w:p>
    <w:p>
      <w:pPr>
        <w:adjustRightInd w:val="0"/>
        <w:snapToGrid w:val="0"/>
        <w:spacing w:line="578" w:lineRule="exact"/>
        <w:ind w:firstLine="640" w:firstLineChars="200"/>
        <w:rPr>
          <w:rFonts w:ascii="仿宋_GB2312" w:hAnsi="宋体"/>
          <w:szCs w:val="32"/>
          <w:lang w:val="zh-CN"/>
        </w:rPr>
      </w:pPr>
      <w:r>
        <w:rPr>
          <w:rFonts w:hint="eastAsia" w:ascii="黑体" w:hAnsi="宋体" w:eastAsia="黑体"/>
          <w:szCs w:val="32"/>
        </w:rPr>
        <w:t>三、绩效分析</w:t>
      </w:r>
      <w:r>
        <w:rPr>
          <w:rFonts w:hint="eastAsia" w:ascii="仿宋_GB2312" w:hAnsi="宋体"/>
          <w:szCs w:val="32"/>
          <w:lang w:val="zh-CN"/>
        </w:rPr>
        <w:tab/>
      </w:r>
    </w:p>
    <w:p>
      <w:pPr>
        <w:spacing w:line="578" w:lineRule="exact"/>
        <w:ind w:firstLine="640"/>
        <w:rPr>
          <w:rFonts w:ascii="楷体_GB2312" w:hAnsi="宋体" w:eastAsia="楷体_GB2312"/>
          <w:b/>
          <w:szCs w:val="32"/>
        </w:rPr>
      </w:pPr>
      <w:r>
        <w:rPr>
          <w:rFonts w:hint="eastAsia" w:ascii="楷体_GB2312" w:hAnsi="宋体" w:eastAsia="楷体_GB2312"/>
          <w:b/>
          <w:szCs w:val="32"/>
          <w:lang w:val="zh-CN"/>
        </w:rPr>
        <w:t>（一）</w:t>
      </w:r>
      <w:r>
        <w:rPr>
          <w:rFonts w:hint="eastAsia" w:ascii="楷体_GB2312" w:hAnsi="宋体" w:eastAsia="楷体_GB2312"/>
          <w:b/>
          <w:szCs w:val="32"/>
        </w:rPr>
        <w:t>通用指标</w:t>
      </w:r>
      <w:r>
        <w:rPr>
          <w:rFonts w:eastAsia="楷体_GB2312"/>
          <w:b/>
          <w:bCs/>
          <w:color w:val="000000"/>
          <w:kern w:val="0"/>
          <w:szCs w:val="32"/>
          <w:shd w:val="clear" w:color="auto" w:fill="FFFFFF"/>
          <w:lang w:val="zh-CN"/>
        </w:rPr>
        <w:t>绩效分析。</w:t>
      </w:r>
    </w:p>
    <w:p>
      <w:pPr>
        <w:adjustRightInd w:val="0"/>
        <w:snapToGrid w:val="0"/>
        <w:spacing w:line="600" w:lineRule="exact"/>
        <w:ind w:firstLine="643"/>
        <w:rPr>
          <w:rFonts w:ascii="楷体_GB2312" w:hAnsi="楷体_GB2312" w:eastAsia="楷体_GB2312" w:cs="楷体_GB2312"/>
          <w:b/>
          <w:bCs/>
          <w:color w:val="000000" w:themeColor="text1"/>
          <w:szCs w:val="32"/>
          <w:lang w:val="zh-CN"/>
          <w14:textFill>
            <w14:solidFill>
              <w14:schemeClr w14:val="tx1"/>
            </w14:solidFill>
          </w14:textFill>
        </w:rPr>
      </w:pPr>
      <w:r>
        <w:rPr>
          <w:rFonts w:hint="eastAsia" w:ascii="楷体_GB2312" w:hAnsi="楷体_GB2312" w:eastAsia="楷体_GB2312" w:cs="楷体_GB2312"/>
          <w:szCs w:val="32"/>
        </w:rPr>
        <w:t>1.项目决策。</w:t>
      </w:r>
      <w:r>
        <w:rPr>
          <w:rFonts w:hint="eastAsia" w:ascii="仿宋_GB2312" w:hAnsi="宋体"/>
          <w:color w:val="000000" w:themeColor="text1"/>
          <w:szCs w:val="32"/>
          <w:lang w:val="zh-CN"/>
          <w14:textFill>
            <w14:solidFill>
              <w14:schemeClr w14:val="tx1"/>
            </w14:solidFill>
          </w14:textFill>
        </w:rPr>
        <w:t>严格按照市国资委、市财政局</w:t>
      </w:r>
      <w:r>
        <w:rPr>
          <w:rFonts w:hint="eastAsia" w:ascii="仿宋_GB2312" w:hAnsi="宋体"/>
          <w:color w:val="000000" w:themeColor="text1"/>
          <w:szCs w:val="32"/>
          <w14:textFill>
            <w14:solidFill>
              <w14:schemeClr w14:val="tx1"/>
            </w14:solidFill>
          </w14:textFill>
        </w:rPr>
        <w:t>《关于同意〈租赁房屋维护维修管理办法〉的批复》（广国资委函〔2016〕139号）文件</w:t>
      </w:r>
      <w:r>
        <w:rPr>
          <w:rFonts w:hint="eastAsia" w:ascii="仿宋_GB2312" w:hAnsi="宋体"/>
          <w:color w:val="000000" w:themeColor="text1"/>
          <w:szCs w:val="32"/>
          <w:lang w:val="zh-CN"/>
          <w14:textFill>
            <w14:solidFill>
              <w14:schemeClr w14:val="tx1"/>
            </w14:solidFill>
          </w14:textFill>
        </w:rPr>
        <w:t>相关规定</w:t>
      </w:r>
      <w:r>
        <w:rPr>
          <w:rFonts w:hint="eastAsia" w:ascii="仿宋_GB2312" w:hAnsi="宋体"/>
          <w:color w:val="000000" w:themeColor="text1"/>
          <w:szCs w:val="32"/>
          <w14:textFill>
            <w14:solidFill>
              <w14:schemeClr w14:val="tx1"/>
            </w14:solidFill>
          </w14:textFill>
        </w:rPr>
        <w:t>。</w:t>
      </w:r>
    </w:p>
    <w:p>
      <w:pPr>
        <w:adjustRightInd w:val="0"/>
        <w:snapToGrid w:val="0"/>
        <w:spacing w:line="600" w:lineRule="exact"/>
        <w:ind w:firstLine="640" w:firstLineChars="200"/>
        <w:rPr>
          <w:rFonts w:ascii="仿宋_GB2312" w:hAnsi="楷体_GB2312" w:cs="楷体_GB2312"/>
          <w:bCs/>
          <w:color w:val="000000" w:themeColor="text1"/>
          <w:szCs w:val="32"/>
          <w:lang w:val="zh-CN"/>
          <w14:textFill>
            <w14:solidFill>
              <w14:schemeClr w14:val="tx1"/>
            </w14:solidFill>
          </w14:textFill>
        </w:rPr>
      </w:pPr>
      <w:r>
        <w:rPr>
          <w:rFonts w:hint="eastAsia" w:ascii="楷体_GB2312" w:hAnsi="楷体_GB2312" w:eastAsia="楷体_GB2312" w:cs="楷体_GB2312"/>
          <w:szCs w:val="32"/>
        </w:rPr>
        <w:t>2.项目管理。</w:t>
      </w:r>
      <w:r>
        <w:rPr>
          <w:rFonts w:hint="eastAsia" w:ascii="仿宋_GB2312" w:hAnsi="楷体_GB2312" w:cs="楷体_GB2312"/>
          <w:bCs/>
          <w:color w:val="000000" w:themeColor="text1"/>
          <w:szCs w:val="32"/>
          <w:lang w:val="zh-CN"/>
          <w14:textFill>
            <w14:solidFill>
              <w14:schemeClr w14:val="tx1"/>
            </w14:solidFill>
          </w14:textFill>
        </w:rPr>
        <w:t>对项目决策到项目结束的全过程进行有计划、有组织的管理、控制和评价。</w:t>
      </w:r>
      <w:r>
        <w:rPr>
          <w:rFonts w:hint="eastAsia" w:ascii="仿宋_GB2312" w:hAnsi="仿宋_GB2312" w:cs="仿宋_GB2312"/>
          <w:color w:val="000000"/>
          <w:kern w:val="0"/>
          <w:szCs w:val="32"/>
        </w:rPr>
        <w:t>严格按照《财务管理制度》和财政批复要求，按项目进度支付，并主动接受财政、审计部门的监督检查。在资金使用过程中，</w:t>
      </w:r>
      <w:r>
        <w:rPr>
          <w:rFonts w:hint="eastAsia" w:ascii="仿宋_GB2312" w:hAnsi="仿宋_GB2312" w:cs="仿宋_GB2312"/>
          <w:color w:val="000000"/>
          <w:szCs w:val="32"/>
        </w:rPr>
        <w:t>加强专项资金使用的监督管理，确保专项资金</w:t>
      </w:r>
      <w:r>
        <w:rPr>
          <w:rFonts w:hint="eastAsia" w:ascii="仿宋_GB2312" w:hAnsi="仿宋_GB2312" w:cs="仿宋_GB2312"/>
          <w:bCs/>
          <w:color w:val="000000"/>
          <w:szCs w:val="32"/>
          <w:lang w:val="zh-CN"/>
        </w:rPr>
        <w:t>支付依据合规合法，财务管理制度、会计核算规范，财务处理及时。</w:t>
      </w:r>
    </w:p>
    <w:p>
      <w:pPr>
        <w:adjustRightInd w:val="0"/>
        <w:snapToGrid w:val="0"/>
        <w:spacing w:line="600" w:lineRule="exact"/>
        <w:ind w:firstLine="720"/>
        <w:rPr>
          <w:rFonts w:ascii="仿宋_GB2312" w:hAnsi="楷体_GB2312" w:cs="楷体_GB2312"/>
          <w:bCs/>
          <w:color w:val="000000" w:themeColor="text1"/>
          <w:szCs w:val="32"/>
          <w:lang w:val="zh-CN"/>
          <w14:textFill>
            <w14:solidFill>
              <w14:schemeClr w14:val="tx1"/>
            </w14:solidFill>
          </w14:textFill>
        </w:rPr>
      </w:pPr>
      <w:r>
        <w:rPr>
          <w:rFonts w:hint="eastAsia" w:ascii="楷体_GB2312" w:hAnsi="楷体_GB2312" w:eastAsia="楷体_GB2312" w:cs="楷体_GB2312"/>
          <w:szCs w:val="32"/>
        </w:rPr>
        <w:t>3.项目实施。</w:t>
      </w:r>
      <w:r>
        <w:rPr>
          <w:rFonts w:hint="eastAsia" w:ascii="仿宋_GB2312"/>
          <w:color w:val="000000" w:themeColor="text1"/>
          <w:szCs w:val="32"/>
          <w14:textFill>
            <w14:solidFill>
              <w14:schemeClr w14:val="tx1"/>
            </w14:solidFill>
          </w14:textFill>
        </w:rPr>
        <w:t>资产科室对租户报修申请进行</w:t>
      </w:r>
      <w:r>
        <w:rPr>
          <w:rFonts w:hint="eastAsia" w:ascii="仿宋_GB2312" w:hAnsi="方正仿宋_GBK" w:cs="方正仿宋_GBK"/>
          <w:color w:val="000000" w:themeColor="text1"/>
          <w:szCs w:val="32"/>
          <w14:textFill>
            <w14:solidFill>
              <w14:schemeClr w14:val="tx1"/>
            </w14:solidFill>
          </w14:textFill>
        </w:rPr>
        <w:t>实地勘察，符合维护维修范围的提出拟办意见；中介机构编制预算后</w:t>
      </w:r>
      <w:r>
        <w:rPr>
          <w:rFonts w:hint="eastAsia" w:ascii="仿宋_GB2312" w:hAnsi="楷体_GB2312" w:cs="楷体_GB2312"/>
          <w:bCs/>
          <w:color w:val="000000" w:themeColor="text1"/>
          <w:szCs w:val="32"/>
          <w:lang w:val="zh-CN"/>
          <w14:textFill>
            <w14:solidFill>
              <w14:schemeClr w14:val="tx1"/>
            </w14:solidFill>
          </w14:textFill>
        </w:rPr>
        <w:t>向市国资委报送维修请示，待市国资委批复后在市国资委网站发布竞争性谈判公告，</w:t>
      </w:r>
      <w:r>
        <w:rPr>
          <w:rFonts w:hint="eastAsia" w:ascii="仿宋_GB2312"/>
          <w:color w:val="000000" w:themeColor="text1"/>
          <w:szCs w:val="32"/>
          <w14:textFill>
            <w14:solidFill>
              <w14:schemeClr w14:val="tx1"/>
            </w14:solidFill>
          </w14:textFill>
        </w:rPr>
        <w:t>按程序选定施工单位；施工过程中</w:t>
      </w:r>
      <w:r>
        <w:rPr>
          <w:rFonts w:hint="eastAsia" w:ascii="仿宋_GB2312" w:hAnsi="方正仿宋_GBK" w:cs="方正仿宋_GBK"/>
          <w:color w:val="000000" w:themeColor="text1"/>
          <w:szCs w:val="32"/>
          <w14:textFill>
            <w14:solidFill>
              <w14:schemeClr w14:val="tx1"/>
            </w14:solidFill>
          </w14:textFill>
        </w:rPr>
        <w:t>督促施工单位安全、文明施工，确保工程质量；组织工程验收，对验收合格的项目，由中介机构编制竣工决算，作为结算付款依据；资产科室依据维修合同、竣工验收单、预决算资料及合法票据向财务科提出工程结算申请，经审签后向财政申请拨付工程款。</w:t>
      </w:r>
    </w:p>
    <w:p>
      <w:pPr>
        <w:adjustRightInd w:val="0"/>
        <w:snapToGrid w:val="0"/>
        <w:spacing w:line="600" w:lineRule="exact"/>
        <w:ind w:firstLine="640"/>
        <w:rPr>
          <w:rFonts w:ascii="仿宋_GB2312" w:hAnsi="仿宋_GB2312" w:cs="仿宋_GB2312"/>
          <w:color w:val="000000" w:themeColor="text1"/>
          <w:szCs w:val="32"/>
          <w14:textFill>
            <w14:solidFill>
              <w14:schemeClr w14:val="tx1"/>
            </w14:solidFill>
          </w14:textFill>
        </w:rPr>
      </w:pPr>
      <w:r>
        <w:rPr>
          <w:rFonts w:hint="eastAsia" w:ascii="楷体_GB2312" w:hAnsi="楷体_GB2312" w:eastAsia="楷体_GB2312" w:cs="楷体_GB2312"/>
          <w:szCs w:val="32"/>
        </w:rPr>
        <w:t>4.项目结果。</w:t>
      </w:r>
      <w:r>
        <w:rPr>
          <w:rFonts w:hint="eastAsia" w:ascii="仿宋_GB2312" w:hAnsi="宋体"/>
          <w:color w:val="000000" w:themeColor="text1"/>
          <w:szCs w:val="32"/>
          <w:lang w:val="zh-CN"/>
          <w14:textFill>
            <w14:solidFill>
              <w14:schemeClr w14:val="tx1"/>
            </w14:solidFill>
          </w14:textFill>
        </w:rPr>
        <w:t>该项目专用资金用于我</w:t>
      </w:r>
      <w:r>
        <w:rPr>
          <w:rFonts w:hint="eastAsia" w:ascii="仿宋_GB2312" w:hAnsi="宋体"/>
          <w:color w:val="000000" w:themeColor="text1"/>
          <w:szCs w:val="32"/>
          <w14:textFill>
            <w14:solidFill>
              <w14:schemeClr w14:val="tx1"/>
            </w14:solidFill>
          </w14:textFill>
        </w:rPr>
        <w:t>单位管理资产的维护维修，</w:t>
      </w:r>
      <w:r>
        <w:rPr>
          <w:rFonts w:hint="eastAsia" w:ascii="仿宋_GB2312" w:hAnsi="宋体"/>
          <w:color w:val="000000" w:themeColor="text1"/>
          <w:szCs w:val="32"/>
          <w:lang w:val="zh-CN"/>
          <w14:textFill>
            <w14:solidFill>
              <w14:schemeClr w14:val="tx1"/>
            </w14:solidFill>
          </w14:textFill>
        </w:rPr>
        <w:t>项目所申报内容与实际相符，申报目标合理可行。</w:t>
      </w:r>
    </w:p>
    <w:p>
      <w:pPr>
        <w:spacing w:line="578" w:lineRule="exact"/>
        <w:ind w:firstLine="642" w:firstLineChars="200"/>
        <w:rPr>
          <w:rFonts w:ascii="楷体_GB2312" w:hAnsi="楷体_GB2312" w:eastAsia="楷体_GB2312" w:cs="楷体_GB2312"/>
          <w:szCs w:val="32"/>
          <w:lang w:val="zh-CN"/>
        </w:rPr>
      </w:pPr>
      <w:r>
        <w:rPr>
          <w:rFonts w:hint="eastAsia" w:ascii="楷体_GB2312" w:hAnsi="宋体" w:eastAsia="楷体_GB2312"/>
          <w:b/>
          <w:szCs w:val="32"/>
          <w:lang w:val="zh-CN"/>
        </w:rPr>
        <w:t>（二）</w:t>
      </w:r>
      <w:r>
        <w:rPr>
          <w:rFonts w:hint="eastAsia" w:ascii="楷体_GB2312" w:hAnsi="宋体" w:eastAsia="楷体_GB2312"/>
          <w:b/>
          <w:szCs w:val="32"/>
        </w:rPr>
        <w:t>专用指标</w:t>
      </w:r>
      <w:r>
        <w:rPr>
          <w:rFonts w:eastAsia="楷体_GB2312"/>
          <w:b/>
          <w:bCs/>
          <w:color w:val="000000"/>
          <w:kern w:val="0"/>
          <w:szCs w:val="32"/>
          <w:shd w:val="clear" w:color="auto" w:fill="FFFFFF"/>
          <w:lang w:val="zh-CN"/>
        </w:rPr>
        <w:t>绩效分析。</w:t>
      </w:r>
    </w:p>
    <w:p>
      <w:pPr>
        <w:spacing w:line="578" w:lineRule="exact"/>
        <w:ind w:firstLine="640" w:firstLineChars="200"/>
        <w:rPr>
          <w:rFonts w:ascii="仿宋_GB2312" w:hAnsi="宋体"/>
          <w:color w:val="000000" w:themeColor="text1"/>
          <w:szCs w:val="32"/>
          <w14:textFill>
            <w14:solidFill>
              <w14:schemeClr w14:val="tx1"/>
            </w14:solidFill>
          </w14:textFill>
        </w:rPr>
      </w:pPr>
      <w:r>
        <w:rPr>
          <w:rFonts w:hint="eastAsia" w:ascii="楷体_GB2312" w:hAnsi="楷体_GB2312" w:eastAsia="楷体_GB2312" w:cs="楷体_GB2312"/>
          <w:szCs w:val="32"/>
        </w:rPr>
        <w:t>1.产业发展。</w:t>
      </w:r>
      <w:r>
        <w:rPr>
          <w:rFonts w:hint="eastAsia" w:ascii="仿宋_GB2312" w:hAnsi="宋体"/>
          <w:color w:val="000000" w:themeColor="text1"/>
          <w:szCs w:val="32"/>
          <w14:textFill>
            <w14:solidFill>
              <w14:schemeClr w14:val="tx1"/>
            </w14:solidFill>
          </w14:textFill>
        </w:rPr>
        <w:t>对管理范围内的租赁房屋及附属设施进行日常的维修维护、防水治漏、电路电线老化改造等，发现房屋安全隐患及时处置，确保资产安全运营。</w:t>
      </w:r>
    </w:p>
    <w:p>
      <w:pPr>
        <w:spacing w:line="578" w:lineRule="exact"/>
        <w:ind w:firstLine="640" w:firstLineChars="200"/>
        <w:rPr>
          <w:rFonts w:ascii="仿宋_GB2312" w:hAnsi="宋体"/>
          <w:color w:val="000000" w:themeColor="text1"/>
          <w:szCs w:val="32"/>
          <w14:textFill>
            <w14:solidFill>
              <w14:schemeClr w14:val="tx1"/>
            </w14:solidFill>
          </w14:textFill>
        </w:rPr>
      </w:pPr>
      <w:r>
        <w:rPr>
          <w:rFonts w:hint="eastAsia" w:ascii="楷体_GB2312" w:hAnsi="楷体_GB2312" w:eastAsia="楷体_GB2312" w:cs="楷体_GB2312"/>
          <w:szCs w:val="32"/>
        </w:rPr>
        <w:t>2.</w:t>
      </w:r>
      <w:r>
        <w:rPr>
          <w:rFonts w:hint="eastAsia" w:ascii="楷体_GB2312" w:hAnsi="楷体_GB2312" w:eastAsia="楷体_GB2312" w:cs="楷体_GB2312"/>
          <w:szCs w:val="32"/>
          <w:lang w:val="zh-CN"/>
        </w:rPr>
        <w:t>民生保障。</w:t>
      </w:r>
      <w:r>
        <w:rPr>
          <w:rFonts w:hint="eastAsia" w:ascii="仿宋_GB2312" w:hAnsi="宋体"/>
          <w:color w:val="000000" w:themeColor="text1"/>
          <w:szCs w:val="32"/>
          <w14:textFill>
            <w14:solidFill>
              <w14:schemeClr w14:val="tx1"/>
            </w14:solidFill>
          </w14:textFill>
        </w:rPr>
        <w:t>年度内维修维护房屋及附属设施设备数量≤10户，维修及时率≥98%，延迟资产使用年限≥2年，承租户满意度≥98%。</w:t>
      </w:r>
    </w:p>
    <w:p>
      <w:pPr>
        <w:spacing w:line="578" w:lineRule="exact"/>
        <w:ind w:firstLine="640"/>
        <w:rPr>
          <w:szCs w:val="32"/>
        </w:rPr>
      </w:pPr>
      <w:r>
        <w:rPr>
          <w:rFonts w:hint="eastAsia" w:ascii="楷体_GB2312" w:hAnsi="楷体_GB2312" w:eastAsia="楷体_GB2312" w:cs="楷体_GB2312"/>
          <w:szCs w:val="32"/>
        </w:rPr>
        <w:t>3.基础设施。</w:t>
      </w:r>
      <w:r>
        <w:rPr>
          <w:rFonts w:hint="eastAsia" w:ascii="仿宋_GB2312" w:hAnsi="宋体"/>
          <w:color w:val="000000" w:themeColor="text1"/>
          <w:szCs w:val="32"/>
          <w14:textFill>
            <w14:solidFill>
              <w14:schemeClr w14:val="tx1"/>
            </w14:solidFill>
          </w14:textFill>
        </w:rPr>
        <w:t>资产维修验收合格率100%，延迟资产使用年限≥2年。</w:t>
      </w:r>
    </w:p>
    <w:p>
      <w:pPr>
        <w:adjustRightInd w:val="0"/>
        <w:snapToGrid w:val="0"/>
        <w:spacing w:line="600" w:lineRule="exact"/>
        <w:ind w:firstLine="640"/>
        <w:rPr>
          <w:rFonts w:ascii="仿宋" w:hAnsi="仿宋"/>
          <w:color w:val="000000" w:themeColor="text1"/>
          <w:szCs w:val="32"/>
          <w14:textFill>
            <w14:solidFill>
              <w14:schemeClr w14:val="tx1"/>
            </w14:solidFill>
          </w14:textFill>
        </w:rPr>
      </w:pPr>
      <w:r>
        <w:rPr>
          <w:rFonts w:hint="eastAsia" w:ascii="楷体_GB2312" w:hAnsi="楷体_GB2312" w:eastAsia="楷体_GB2312" w:cs="楷体_GB2312"/>
          <w:szCs w:val="32"/>
        </w:rPr>
        <w:t>4.</w:t>
      </w:r>
      <w:r>
        <w:rPr>
          <w:rFonts w:hint="eastAsia" w:ascii="楷体_GB2312" w:hAnsi="楷体_GB2312" w:eastAsia="楷体_GB2312" w:cs="楷体_GB2312"/>
          <w:szCs w:val="32"/>
          <w:lang w:val="zh-CN"/>
        </w:rPr>
        <w:t>行政运转。</w:t>
      </w:r>
      <w:r>
        <w:rPr>
          <w:rFonts w:hint="eastAsia" w:ascii="仿宋_GB2312" w:hAnsi="宋体"/>
          <w:color w:val="000000" w:themeColor="text1"/>
          <w:szCs w:val="32"/>
          <w:lang w:val="zh-CN"/>
          <w14:textFill>
            <w14:solidFill>
              <w14:schemeClr w14:val="tx1"/>
            </w14:solidFill>
          </w14:textFill>
        </w:rPr>
        <w:t>严格按照市国资委、市财政局</w:t>
      </w:r>
      <w:r>
        <w:rPr>
          <w:rFonts w:hint="eastAsia" w:ascii="仿宋_GB2312" w:hAnsi="宋体"/>
          <w:color w:val="000000" w:themeColor="text1"/>
          <w:szCs w:val="32"/>
          <w14:textFill>
            <w14:solidFill>
              <w14:schemeClr w14:val="tx1"/>
            </w14:solidFill>
          </w14:textFill>
        </w:rPr>
        <w:t>《关于同意〈租赁房屋维护维修管理办法〉的批复》（广国资委函〔2016〕139号）文件</w:t>
      </w:r>
      <w:r>
        <w:rPr>
          <w:rFonts w:hint="eastAsia" w:ascii="仿宋_GB2312" w:hAnsi="宋体"/>
          <w:color w:val="000000" w:themeColor="text1"/>
          <w:szCs w:val="32"/>
          <w:lang w:val="zh-CN"/>
          <w14:textFill>
            <w14:solidFill>
              <w14:schemeClr w14:val="tx1"/>
            </w14:solidFill>
          </w14:textFill>
        </w:rPr>
        <w:t>相关规定</w:t>
      </w:r>
      <w:r>
        <w:rPr>
          <w:rFonts w:hint="eastAsia" w:ascii="仿宋_GB2312" w:hAnsi="宋体"/>
          <w:color w:val="000000" w:themeColor="text1"/>
          <w:szCs w:val="32"/>
          <w14:textFill>
            <w14:solidFill>
              <w14:schemeClr w14:val="tx1"/>
            </w14:solidFill>
          </w14:textFill>
        </w:rPr>
        <w:t>进行维修维护，确保资产安全运营。</w:t>
      </w:r>
    </w:p>
    <w:p>
      <w:pPr>
        <w:spacing w:line="578" w:lineRule="exact"/>
        <w:ind w:firstLine="640"/>
        <w:rPr>
          <w:rFonts w:ascii="仿宋_GB2312"/>
          <w:szCs w:val="32"/>
        </w:rPr>
      </w:pPr>
      <w:r>
        <w:rPr>
          <w:rFonts w:hint="eastAsia" w:ascii="楷体_GB2312" w:hAnsi="宋体" w:eastAsia="楷体_GB2312"/>
          <w:b/>
          <w:szCs w:val="32"/>
          <w:lang w:val="zh-CN"/>
        </w:rPr>
        <w:t>（三）</w:t>
      </w:r>
      <w:r>
        <w:rPr>
          <w:rFonts w:hint="eastAsia" w:ascii="楷体_GB2312" w:hAnsi="宋体" w:eastAsia="楷体_GB2312"/>
          <w:b/>
          <w:szCs w:val="32"/>
        </w:rPr>
        <w:t>个性指标</w:t>
      </w:r>
      <w:r>
        <w:rPr>
          <w:rFonts w:eastAsia="楷体_GB2312"/>
          <w:b/>
          <w:bCs/>
          <w:color w:val="000000"/>
          <w:kern w:val="0"/>
          <w:szCs w:val="32"/>
          <w:shd w:val="clear" w:color="auto" w:fill="FFFFFF"/>
          <w:lang w:val="zh-CN"/>
        </w:rPr>
        <w:t>绩效分析。</w:t>
      </w:r>
      <w:r>
        <w:rPr>
          <w:rFonts w:hint="eastAsia" w:ascii="仿宋_GB2312"/>
          <w:szCs w:val="32"/>
          <w:lang w:val="zh-CN"/>
        </w:rPr>
        <w:t>2023年度内使用专项资金10万元。</w:t>
      </w:r>
    </w:p>
    <w:p>
      <w:pPr>
        <w:adjustRightInd w:val="0"/>
        <w:snapToGrid w:val="0"/>
        <w:spacing w:line="600" w:lineRule="exact"/>
        <w:ind w:firstLine="640"/>
        <w:rPr>
          <w:rFonts w:ascii="黑体" w:hAnsi="黑体" w:eastAsia="黑体" w:cs="黑体"/>
          <w:bCs/>
          <w:color w:val="000000" w:themeColor="text1"/>
          <w:szCs w:val="32"/>
          <w14:textFill>
            <w14:solidFill>
              <w14:schemeClr w14:val="tx1"/>
            </w14:solidFill>
          </w14:textFill>
        </w:rPr>
      </w:pPr>
      <w:r>
        <w:rPr>
          <w:rFonts w:hint="eastAsia" w:ascii="黑体" w:hAnsi="黑体" w:eastAsia="黑体" w:cs="黑体"/>
          <w:bCs/>
          <w:color w:val="000000" w:themeColor="text1"/>
          <w:szCs w:val="32"/>
          <w14:textFill>
            <w14:solidFill>
              <w14:schemeClr w14:val="tx1"/>
            </w14:solidFill>
          </w14:textFill>
        </w:rPr>
        <w:t>四、评价结论</w:t>
      </w:r>
    </w:p>
    <w:p>
      <w:pPr>
        <w:adjustRightInd w:val="0"/>
        <w:snapToGrid w:val="0"/>
        <w:spacing w:line="600" w:lineRule="exact"/>
        <w:ind w:firstLine="640"/>
        <w:rPr>
          <w:rFonts w:ascii="仿宋" w:hAnsi="仿宋"/>
          <w:color w:val="000000" w:themeColor="text1"/>
          <w:szCs w:val="32"/>
          <w14:textFill>
            <w14:solidFill>
              <w14:schemeClr w14:val="tx1"/>
            </w14:solidFill>
          </w14:textFill>
        </w:rPr>
      </w:pPr>
      <w:r>
        <w:rPr>
          <w:rFonts w:hint="eastAsia" w:ascii="仿宋_GB2312"/>
          <w:color w:val="000000" w:themeColor="text1"/>
          <w:szCs w:val="32"/>
          <w14:textFill>
            <w14:solidFill>
              <w14:schemeClr w14:val="tx1"/>
            </w14:solidFill>
          </w14:textFill>
        </w:rPr>
        <w:t>部门自评预算执行得分10分，绩效指标得分90分，项目自评得分100分。</w:t>
      </w:r>
      <w:r>
        <w:rPr>
          <w:rFonts w:hint="eastAsia" w:ascii="仿宋_GB2312" w:hAnsi="宋体"/>
          <w:color w:val="000000" w:themeColor="text1"/>
          <w:szCs w:val="32"/>
          <w14:textFill>
            <w14:solidFill>
              <w14:schemeClr w14:val="tx1"/>
            </w14:solidFill>
          </w14:textFill>
        </w:rPr>
        <w:t>年度内维修维护房屋及附属设施设备数量10户，资产维修验收合格率100%，维修及时率98%，承租户满意度98%，</w:t>
      </w:r>
      <w:r>
        <w:rPr>
          <w:rFonts w:hint="eastAsia" w:ascii="仿宋_GB2312"/>
          <w:szCs w:val="32"/>
          <w:lang w:val="zh-CN"/>
        </w:rPr>
        <w:t>使用专项资金10万元</w:t>
      </w:r>
      <w:r>
        <w:rPr>
          <w:rFonts w:hint="eastAsia" w:ascii="仿宋_GB2312" w:hAnsi="宋体"/>
          <w:color w:val="000000" w:themeColor="text1"/>
          <w:szCs w:val="32"/>
          <w14:textFill>
            <w14:solidFill>
              <w14:schemeClr w14:val="tx1"/>
            </w14:solidFill>
          </w14:textFill>
        </w:rPr>
        <w:t>。</w:t>
      </w:r>
    </w:p>
    <w:p>
      <w:pPr>
        <w:pStyle w:val="2"/>
        <w:spacing w:before="93" w:line="600" w:lineRule="exact"/>
        <w:ind w:firstLine="640" w:firstLineChars="200"/>
        <w:rPr>
          <w:rFonts w:ascii="黑体" w:hAnsi="黑体" w:eastAsia="黑体"/>
          <w:sz w:val="32"/>
          <w:szCs w:val="32"/>
        </w:rPr>
      </w:pPr>
      <w:r>
        <w:rPr>
          <w:rFonts w:hint="eastAsia" w:ascii="黑体" w:hAnsi="黑体" w:eastAsia="黑体"/>
          <w:sz w:val="32"/>
          <w:szCs w:val="32"/>
        </w:rPr>
        <w:t>五、存在主要问题</w:t>
      </w:r>
    </w:p>
    <w:p>
      <w:pPr>
        <w:pStyle w:val="2"/>
        <w:spacing w:before="93" w:line="600" w:lineRule="exact"/>
        <w:ind w:firstLine="640" w:firstLineChars="200"/>
        <w:rPr>
          <w:rFonts w:hAnsi="仿宋_GB2312" w:cs="仿宋_GB2312"/>
          <w:color w:val="000000" w:themeColor="text1"/>
          <w:kern w:val="2"/>
          <w:sz w:val="32"/>
          <w:szCs w:val="32"/>
          <w14:textFill>
            <w14:solidFill>
              <w14:schemeClr w14:val="tx1"/>
            </w14:solidFill>
          </w14:textFill>
        </w:rPr>
      </w:pPr>
      <w:r>
        <w:rPr>
          <w:rFonts w:hint="eastAsia" w:hAnsi="仿宋_GB2312" w:cs="仿宋_GB2312"/>
          <w:color w:val="000000" w:themeColor="text1"/>
          <w:kern w:val="2"/>
          <w:sz w:val="32"/>
          <w:szCs w:val="32"/>
          <w14:textFill>
            <w14:solidFill>
              <w14:schemeClr w14:val="tx1"/>
            </w14:solidFill>
          </w14:textFill>
        </w:rPr>
        <w:t>一是我单位管理的市级单位经营性资产分布广，数量多，地域范围大，无应急抢险专用交通工具；二是部分房屋因修建年代久远，加之“5</w:t>
      </w:r>
      <w:r>
        <w:rPr>
          <w:rFonts w:hint="eastAsia" w:hAnsi="仿宋_GB2312" w:eastAsia="宋体" w:cs="仿宋_GB2312"/>
          <w:color w:val="000000" w:themeColor="text1"/>
          <w:kern w:val="2"/>
          <w:sz w:val="32"/>
          <w:szCs w:val="32"/>
          <w14:textFill>
            <w14:solidFill>
              <w14:schemeClr w14:val="tx1"/>
            </w14:solidFill>
          </w14:textFill>
        </w:rPr>
        <w:t>•</w:t>
      </w:r>
      <w:r>
        <w:rPr>
          <w:rFonts w:hint="eastAsia" w:hAnsi="仿宋_GB2312" w:cs="仿宋_GB2312"/>
          <w:color w:val="000000" w:themeColor="text1"/>
          <w:kern w:val="2"/>
          <w:sz w:val="32"/>
          <w:szCs w:val="32"/>
          <w14:textFill>
            <w14:solidFill>
              <w14:schemeClr w14:val="tx1"/>
            </w14:solidFill>
          </w14:textFill>
        </w:rPr>
        <w:t>12”地震的影响，经多次维护维修后仍不能完全解决房屋渗漏问题；三是部分经营性资产未纳入老旧小区改造范围，改造过程中涉及这部分资产的水、电、气及基础设施改造费用未纳入财政预算，导致维修资金缺口较大。</w:t>
      </w:r>
    </w:p>
    <w:p>
      <w:pPr>
        <w:pStyle w:val="2"/>
        <w:spacing w:before="93" w:line="600" w:lineRule="exact"/>
        <w:ind w:firstLine="640" w:firstLineChars="200"/>
        <w:rPr>
          <w:rFonts w:ascii="黑体" w:hAnsi="黑体" w:eastAsia="黑体"/>
          <w:sz w:val="32"/>
          <w:szCs w:val="32"/>
        </w:rPr>
      </w:pPr>
      <w:r>
        <w:rPr>
          <w:rFonts w:hint="eastAsia" w:ascii="黑体" w:hAnsi="黑体" w:eastAsia="黑体"/>
          <w:sz w:val="32"/>
          <w:szCs w:val="32"/>
        </w:rPr>
        <w:t>六、改进建议</w:t>
      </w:r>
    </w:p>
    <w:p>
      <w:pPr>
        <w:adjustRightInd w:val="0"/>
        <w:snapToGrid w:val="0"/>
        <w:spacing w:line="600" w:lineRule="exact"/>
        <w:ind w:firstLine="800" w:firstLineChars="250"/>
        <w:rPr>
          <w:rFonts w:ascii="仿宋_GB2312"/>
          <w:color w:val="000000" w:themeColor="text1"/>
          <w:szCs w:val="32"/>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一是安全巡查发现问题及时排除安全隐患；二是个别项目受约因素较多，有可能导致预算与实际执行存在一定的偏差，建议结合实际情况进行绩效评价。</w:t>
      </w: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2"/>
        <w:spacing w:before="93" w:line="576" w:lineRule="exact"/>
      </w:pPr>
    </w:p>
    <w:p>
      <w:pPr>
        <w:pStyle w:val="38"/>
        <w:adjustRightInd w:val="0"/>
        <w:snapToGrid w:val="0"/>
        <w:spacing w:line="576" w:lineRule="exact"/>
        <w:ind w:left="640"/>
        <w:jc w:val="center"/>
        <w:rPr>
          <w:rFonts w:ascii="方正小标宋简体" w:hAnsi="新宋体" w:eastAsia="方正小标宋简体" w:cs="方正小标宋简体"/>
          <w:color w:val="000000" w:themeColor="text1"/>
          <w:sz w:val="40"/>
          <w:szCs w:val="40"/>
          <w14:textFill>
            <w14:solidFill>
              <w14:schemeClr w14:val="tx1"/>
            </w14:solidFill>
          </w14:textFill>
        </w:rPr>
      </w:pPr>
      <w:r>
        <w:rPr>
          <w:rFonts w:hint="eastAsia" w:ascii="方正小标宋简体" w:hAnsi="新宋体" w:eastAsia="方正小标宋简体" w:cs="方正小标宋简体"/>
          <w:color w:val="000000" w:themeColor="text1"/>
          <w:sz w:val="40"/>
          <w:szCs w:val="40"/>
          <w14:textFill>
            <w14:solidFill>
              <w14:schemeClr w14:val="tx1"/>
            </w14:solidFill>
          </w14:textFill>
        </w:rPr>
        <w:t>2023年</w:t>
      </w:r>
      <w:r>
        <w:rPr>
          <w:rFonts w:hint="eastAsia" w:ascii="方正小标宋简体" w:hAnsi="新宋体" w:eastAsia="方正小标宋简体" w:cs="方正小标宋简体"/>
          <w:color w:val="000000" w:themeColor="text1"/>
          <w:sz w:val="40"/>
          <w:szCs w:val="40"/>
          <w:shd w:val="clear" w:color="auto" w:fill="FFFFFF"/>
          <w14:textFill>
            <w14:solidFill>
              <w14:schemeClr w14:val="tx1"/>
            </w14:solidFill>
          </w14:textFill>
        </w:rPr>
        <w:t>市级专项资金预算</w:t>
      </w:r>
      <w:r>
        <w:rPr>
          <w:rFonts w:hint="eastAsia" w:ascii="方正小标宋简体" w:hAnsi="新宋体" w:eastAsia="方正小标宋简体" w:cs="方正小标宋简体"/>
          <w:color w:val="000000" w:themeColor="text1"/>
          <w:sz w:val="40"/>
          <w:szCs w:val="40"/>
          <w14:textFill>
            <w14:solidFill>
              <w14:schemeClr w14:val="tx1"/>
            </w14:solidFill>
          </w14:textFill>
        </w:rPr>
        <w:t>项目支出绩效</w:t>
      </w:r>
    </w:p>
    <w:p>
      <w:pPr>
        <w:pStyle w:val="38"/>
        <w:adjustRightInd w:val="0"/>
        <w:snapToGrid w:val="0"/>
        <w:spacing w:line="576" w:lineRule="exact"/>
        <w:ind w:left="640"/>
        <w:jc w:val="center"/>
        <w:rPr>
          <w:rFonts w:ascii="方正小标宋简体" w:hAnsi="新宋体" w:eastAsia="方正小标宋简体" w:cs="方正小标宋简体"/>
          <w:color w:val="000000" w:themeColor="text1"/>
          <w:sz w:val="40"/>
          <w:szCs w:val="40"/>
          <w14:textFill>
            <w14:solidFill>
              <w14:schemeClr w14:val="tx1"/>
            </w14:solidFill>
          </w14:textFill>
        </w:rPr>
      </w:pPr>
      <w:r>
        <w:rPr>
          <w:rFonts w:hint="eastAsia" w:ascii="方正小标宋简体" w:hAnsi="新宋体" w:eastAsia="方正小标宋简体" w:cs="方正小标宋简体"/>
          <w:color w:val="000000" w:themeColor="text1"/>
          <w:sz w:val="40"/>
          <w:szCs w:val="40"/>
          <w14:textFill>
            <w14:solidFill>
              <w14:schemeClr w14:val="tx1"/>
            </w14:solidFill>
          </w14:textFill>
        </w:rPr>
        <w:t>自评报告</w:t>
      </w:r>
    </w:p>
    <w:p>
      <w:pPr>
        <w:adjustRightInd w:val="0"/>
        <w:snapToGrid w:val="0"/>
        <w:spacing w:line="576"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w:t>
      </w:r>
      <w:r>
        <w:rPr>
          <w:rFonts w:hint="eastAsia" w:ascii="楷体_GB2312" w:eastAsia="楷体_GB2312"/>
          <w:color w:val="000000" w:themeColor="text1"/>
          <w14:textFill>
            <w14:solidFill>
              <w14:schemeClr w14:val="tx1"/>
            </w14:solidFill>
          </w14:textFill>
        </w:rPr>
        <w:t>出租房屋税费项目</w:t>
      </w:r>
      <w:r>
        <w:rPr>
          <w:rFonts w:hint="eastAsia" w:ascii="楷体_GB2312" w:hAnsi="楷体_GB2312" w:eastAsia="楷体_GB2312" w:cs="楷体_GB2312"/>
          <w:color w:val="000000" w:themeColor="text1"/>
          <w14:textFill>
            <w14:solidFill>
              <w14:schemeClr w14:val="tx1"/>
            </w14:solidFill>
          </w14:textFill>
        </w:rPr>
        <w:t>）</w:t>
      </w:r>
    </w:p>
    <w:p>
      <w:pPr>
        <w:adjustRightInd w:val="0"/>
        <w:snapToGrid w:val="0"/>
        <w:spacing w:line="576" w:lineRule="exact"/>
        <w:ind w:firstLine="640"/>
        <w:rPr>
          <w:rFonts w:ascii="宋体"/>
          <w:color w:val="000000" w:themeColor="text1"/>
          <w:lang w:val="zh-CN"/>
          <w14:textFill>
            <w14:solidFill>
              <w14:schemeClr w14:val="tx1"/>
            </w14:solidFill>
          </w14:textFill>
        </w:rPr>
      </w:pPr>
    </w:p>
    <w:p>
      <w:pPr>
        <w:numPr>
          <w:ilvl w:val="0"/>
          <w:numId w:val="10"/>
        </w:numPr>
        <w:adjustRightInd w:val="0"/>
        <w:snapToGrid w:val="0"/>
        <w:spacing w:line="576" w:lineRule="exact"/>
        <w:ind w:left="1152" w:hanging="480"/>
        <w:rPr>
          <w:rFonts w:ascii="黑体" w:hAnsi="宋体" w:eastAsia="黑体"/>
          <w:color w:val="000000" w:themeColor="text1"/>
          <w:lang w:val="zh-CN"/>
          <w14:textFill>
            <w14:solidFill>
              <w14:schemeClr w14:val="tx1"/>
            </w14:solidFill>
          </w14:textFill>
        </w:rPr>
      </w:pPr>
      <w:r>
        <w:rPr>
          <w:rFonts w:hint="eastAsia" w:ascii="黑体" w:hAnsi="宋体" w:eastAsia="黑体"/>
          <w:color w:val="000000" w:themeColor="text1"/>
          <w:lang w:val="zh-CN"/>
          <w14:textFill>
            <w14:solidFill>
              <w14:schemeClr w14:val="tx1"/>
            </w14:solidFill>
          </w14:textFill>
        </w:rPr>
        <w:t>项目概况</w:t>
      </w:r>
    </w:p>
    <w:p>
      <w:pPr>
        <w:adjustRightInd w:val="0"/>
        <w:snapToGrid w:val="0"/>
        <w:spacing w:line="576" w:lineRule="exact"/>
        <w:ind w:firstLine="640"/>
        <w:rPr>
          <w:color w:val="000000" w:themeColor="text1"/>
          <w:kern w:val="1"/>
          <w14:textFill>
            <w14:solidFill>
              <w14:schemeClr w14:val="tx1"/>
            </w14:solidFill>
          </w14:textFill>
        </w:rPr>
      </w:pPr>
      <w:r>
        <w:rPr>
          <w:rFonts w:hint="eastAsia" w:ascii="楷体_GB2312" w:hAnsi="楷体_GB2312" w:eastAsia="楷体_GB2312" w:cs="楷体_GB2312"/>
          <w:b/>
          <w:bCs/>
          <w:color w:val="000000" w:themeColor="text1"/>
          <w:lang w:val="zh-CN"/>
          <w14:textFill>
            <w14:solidFill>
              <w14:schemeClr w14:val="tx1"/>
            </w14:solidFill>
          </w14:textFill>
        </w:rPr>
        <w:t>（一）项目设立背景及基本情况。</w:t>
      </w:r>
      <w:r>
        <w:rPr>
          <w:rFonts w:hint="eastAsia" w:ascii="仿宋_GB2312" w:hAnsi="方正仿宋_GBK" w:cs="方正仿宋_GBK"/>
          <w:color w:val="000000" w:themeColor="text1"/>
          <w14:textFill>
            <w14:solidFill>
              <w14:schemeClr w14:val="tx1"/>
            </w14:solidFill>
          </w14:textFill>
        </w:rPr>
        <w:t>我单位</w:t>
      </w:r>
      <w:r>
        <w:rPr>
          <w:rFonts w:hint="eastAsia" w:ascii="仿宋_GB2312" w:hAnsi="仿宋"/>
          <w:color w:val="000000" w:themeColor="text1"/>
          <w14:textFill>
            <w14:solidFill>
              <w14:schemeClr w14:val="tx1"/>
            </w14:solidFill>
          </w14:textFill>
        </w:rPr>
        <w:t>负责管理市直机关经营性国有资产，负责收益</w:t>
      </w:r>
      <w:r>
        <w:rPr>
          <w:rFonts w:hint="eastAsia" w:ascii="仿宋_GB2312"/>
          <w:color w:val="000000" w:themeColor="text1"/>
          <w:kern w:val="1"/>
          <w14:textFill>
            <w14:solidFill>
              <w14:schemeClr w14:val="tx1"/>
            </w14:solidFill>
          </w14:textFill>
        </w:rPr>
        <w:t>的收取、解缴和相关资产的物业管理，履行授权管理的国有资产保值增值责任。</w:t>
      </w:r>
      <w:r>
        <w:rPr>
          <w:rFonts w:hint="eastAsia" w:ascii="仿宋_GB2312" w:hAnsi="方正仿宋_GBK" w:cs="方正仿宋_GBK"/>
          <w:color w:val="000000" w:themeColor="text1"/>
          <w14:textFill>
            <w14:solidFill>
              <w14:schemeClr w14:val="tx1"/>
            </w14:solidFill>
          </w14:textFill>
        </w:rPr>
        <w:t>按照税法要求，经营性国有资产收益依法缴纳税金。</w:t>
      </w:r>
      <w:r>
        <w:rPr>
          <w:rFonts w:hint="eastAsia" w:ascii="仿宋_GB2312" w:hAnsi="宋体"/>
          <w:color w:val="000000" w:themeColor="text1"/>
          <w14:textFill>
            <w14:solidFill>
              <w14:schemeClr w14:val="tx1"/>
            </w14:solidFill>
          </w14:textFill>
        </w:rPr>
        <w:t>该项目专用资金用于我中心管理范围内的经营性资产收益缴纳相关税费，申报税费目标切实合理可行</w:t>
      </w:r>
      <w:r>
        <w:rPr>
          <w:rFonts w:hint="eastAsia" w:ascii="仿宋_GB2312" w:hAnsi="宋体"/>
          <w:b/>
          <w:color w:val="000000" w:themeColor="text1"/>
          <w14:textFill>
            <w14:solidFill>
              <w14:schemeClr w14:val="tx1"/>
            </w14:solidFill>
          </w14:textFill>
        </w:rPr>
        <w:t>。</w:t>
      </w:r>
      <w:r>
        <w:rPr>
          <w:rFonts w:hint="eastAsia" w:ascii="仿宋_GB2312"/>
          <w:color w:val="000000" w:themeColor="text1"/>
          <w:kern w:val="1"/>
          <w14:textFill>
            <w14:solidFill>
              <w14:schemeClr w14:val="tx1"/>
            </w14:solidFill>
          </w14:textFill>
        </w:rPr>
        <w:t>市级行政事业单位经营性资产统一经营管理的通知广委办〔2010〕207号，市级行政事业单位经营性资产统一由市国有资产管理中心负责经营管理，资产收入直接缴入财政专户，由市政府统筹安排使用。经营性资产集中统一管理产生的管理费、维护维修费、税金等支出，按“收支两条线”原则，由市财政局纳入预算管理。</w:t>
      </w:r>
    </w:p>
    <w:p>
      <w:pPr>
        <w:adjustRightInd w:val="0"/>
        <w:snapToGrid w:val="0"/>
        <w:spacing w:line="576" w:lineRule="exact"/>
        <w:ind w:firstLine="640"/>
        <w:rPr>
          <w:rFonts w:ascii="仿宋_GB2312" w:hAnsi="宋体"/>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（二）</w:t>
      </w:r>
      <w:r>
        <w:rPr>
          <w:rFonts w:ascii="楷体_GB2312" w:hAnsi="宋体" w:eastAsia="楷体_GB2312"/>
          <w:b/>
          <w:color w:val="000000" w:themeColor="text1"/>
          <w14:textFill>
            <w14:solidFill>
              <w14:schemeClr w14:val="tx1"/>
            </w14:solidFill>
          </w14:textFill>
        </w:rPr>
        <w:t>实施目的及支持方向</w:t>
      </w:r>
      <w:r>
        <w:rPr>
          <w:rFonts w:hint="eastAsia" w:ascii="楷体_GB2312" w:hAnsi="宋体" w:eastAsia="楷体_GB2312"/>
          <w:b/>
          <w:color w:val="000000" w:themeColor="text1"/>
          <w14:textFill>
            <w14:solidFill>
              <w14:schemeClr w14:val="tx1"/>
            </w14:solidFill>
          </w14:textFill>
        </w:rPr>
        <w:t>。</w:t>
      </w:r>
      <w:r>
        <w:rPr>
          <w:rFonts w:hint="eastAsia" w:ascii="仿宋_GB2312" w:hAnsi="宋体"/>
          <w:color w:val="000000" w:themeColor="text1"/>
          <w14:textFill>
            <w14:solidFill>
              <w14:schemeClr w14:val="tx1"/>
            </w14:solidFill>
          </w14:textFill>
        </w:rPr>
        <w:t>2023年度该项目专用资金出租房屋税费专款专用用于缴纳市级行政事业单位经营性资产收益的相关税费。</w:t>
      </w:r>
    </w:p>
    <w:p>
      <w:pPr>
        <w:adjustRightInd w:val="0"/>
        <w:snapToGrid w:val="0"/>
        <w:spacing w:line="576" w:lineRule="exact"/>
        <w:ind w:firstLine="640"/>
        <w:rPr>
          <w:rFonts w:ascii="仿宋_GB2312" w:hAnsi="宋体"/>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（三）</w:t>
      </w:r>
      <w:r>
        <w:rPr>
          <w:rFonts w:ascii="楷体_GB2312" w:hAnsi="宋体" w:eastAsia="楷体_GB2312"/>
          <w:b/>
          <w:color w:val="000000" w:themeColor="text1"/>
          <w14:textFill>
            <w14:solidFill>
              <w14:schemeClr w14:val="tx1"/>
            </w14:solidFill>
          </w14:textFill>
        </w:rPr>
        <w:t>预算安排及分配管理</w:t>
      </w:r>
      <w:r>
        <w:rPr>
          <w:rFonts w:hint="eastAsia" w:ascii="楷体_GB2312" w:hAnsi="宋体" w:eastAsia="楷体_GB2312"/>
          <w:b/>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市财政局批复我单位2023年</w:t>
      </w:r>
      <w:r>
        <w:rPr>
          <w:rFonts w:hint="eastAsia" w:ascii="仿宋_GB2312"/>
          <w:color w:val="000000" w:themeColor="text1"/>
          <w14:textFill>
            <w14:solidFill>
              <w14:schemeClr w14:val="tx1"/>
            </w14:solidFill>
          </w14:textFill>
        </w:rPr>
        <w:t>出租房屋税费</w:t>
      </w:r>
      <w:r>
        <w:rPr>
          <w:rFonts w:hint="eastAsia" w:ascii="仿宋_GB2312" w:hAnsi="宋体"/>
          <w:color w:val="000000" w:themeColor="text1"/>
          <w14:textFill>
            <w14:solidFill>
              <w14:schemeClr w14:val="tx1"/>
            </w14:solidFill>
          </w14:textFill>
        </w:rPr>
        <w:t>预算经费279万元。</w:t>
      </w:r>
    </w:p>
    <w:p>
      <w:pPr>
        <w:adjustRightInd w:val="0"/>
        <w:snapToGrid w:val="0"/>
        <w:spacing w:line="576" w:lineRule="exact"/>
        <w:ind w:firstLine="640"/>
        <w:rPr>
          <w:rFonts w:ascii="仿宋_GB2312" w:hAnsi="宋体"/>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（四）项目绩效目标设置。</w:t>
      </w:r>
      <w:r>
        <w:rPr>
          <w:rFonts w:hint="eastAsia" w:ascii="仿宋_GB2312" w:hAnsi="宋体"/>
          <w:color w:val="000000" w:themeColor="text1"/>
          <w14:textFill>
            <w14:solidFill>
              <w14:schemeClr w14:val="tx1"/>
            </w14:solidFill>
          </w14:textFill>
        </w:rPr>
        <w:t>我单位按要求填报《2023年预算项目支出绩效目标申报表》，编制出租房屋税费预算。</w:t>
      </w:r>
    </w:p>
    <w:p>
      <w:pPr>
        <w:adjustRightInd w:val="0"/>
        <w:snapToGrid w:val="0"/>
        <w:spacing w:line="576" w:lineRule="exact"/>
        <w:ind w:firstLine="640" w:firstLineChars="200"/>
        <w:rPr>
          <w:rFonts w:ascii="黑体" w:hAnsi="宋体" w:eastAsia="黑体"/>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二、评价实施</w:t>
      </w:r>
    </w:p>
    <w:p>
      <w:pPr>
        <w:adjustRightInd w:val="0"/>
        <w:snapToGrid w:val="0"/>
        <w:spacing w:line="576" w:lineRule="exact"/>
        <w:ind w:firstLine="642" w:firstLineChars="200"/>
        <w:rPr>
          <w:rFonts w:ascii="仿宋_GB2312" w:hAnsi="宋体"/>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（一）评价目的。</w:t>
      </w:r>
      <w:r>
        <w:rPr>
          <w:rFonts w:hint="eastAsia" w:ascii="仿宋_GB2312" w:hAnsi="宋体"/>
          <w:color w:val="000000" w:themeColor="text1"/>
          <w14:textFill>
            <w14:solidFill>
              <w14:schemeClr w14:val="tx1"/>
            </w14:solidFill>
          </w14:textFill>
        </w:rPr>
        <w:t>按照税法相关规定，及时缴纳期间税费，确保经营性国有资产增值保值。保障资产增值、财政增收。</w:t>
      </w:r>
    </w:p>
    <w:p>
      <w:pPr>
        <w:adjustRightInd w:val="0"/>
        <w:snapToGrid w:val="0"/>
        <w:spacing w:line="576" w:lineRule="exact"/>
        <w:ind w:firstLine="640"/>
        <w:rPr>
          <w:rFonts w:ascii="仿宋_GB2312" w:hAnsi="宋体"/>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（二）预设问题及评价重点。</w:t>
      </w:r>
      <w:r>
        <w:rPr>
          <w:rFonts w:hint="eastAsia" w:ascii="仿宋_GB2312" w:hAnsi="宋体"/>
          <w:color w:val="000000" w:themeColor="text1"/>
          <w14:textFill>
            <w14:solidFill>
              <w14:schemeClr w14:val="tx1"/>
            </w14:solidFill>
          </w14:textFill>
        </w:rPr>
        <w:t>该项目专用资金采用预算绩效指标标准评分方法：分级评分法，指标分别设置权重所占%，指标得分按指标值所在区间的权重计算得分。按年初财政批复的预算项目支出绩效目标，预算资金执行比率及实际完成指标值计算自评得分。</w:t>
      </w:r>
    </w:p>
    <w:p>
      <w:pPr>
        <w:adjustRightInd w:val="0"/>
        <w:snapToGrid w:val="0"/>
        <w:spacing w:line="576" w:lineRule="exact"/>
        <w:ind w:firstLine="640"/>
        <w:rPr>
          <w:color w:val="000000" w:themeColor="text1"/>
          <w:lang w:val="zh-CN"/>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（三）评价选点。</w:t>
      </w:r>
      <w:r>
        <w:rPr>
          <w:rFonts w:hint="eastAsia" w:ascii="仿宋_GB2312" w:hAnsi="宋体"/>
          <w:color w:val="000000" w:themeColor="text1"/>
          <w14:textFill>
            <w14:solidFill>
              <w14:schemeClr w14:val="tx1"/>
            </w14:solidFill>
          </w14:textFill>
        </w:rPr>
        <w:t>按年初财政批复的预算项目支出绩效目标，</w:t>
      </w:r>
      <w:r>
        <w:rPr>
          <w:rFonts w:hint="eastAsia"/>
          <w:color w:val="000000" w:themeColor="text1"/>
          <w:lang w:val="zh-CN"/>
          <w14:textFill>
            <w14:solidFill>
              <w14:schemeClr w14:val="tx1"/>
            </w14:solidFill>
          </w14:textFill>
        </w:rPr>
        <w:t>项目绩效自评</w:t>
      </w:r>
      <w:r>
        <w:rPr>
          <w:rFonts w:hint="eastAsia" w:ascii="仿宋_GB2312" w:hAnsi="宋体"/>
          <w:color w:val="000000" w:themeColor="text1"/>
          <w14:textFill>
            <w14:solidFill>
              <w14:schemeClr w14:val="tx1"/>
            </w14:solidFill>
          </w14:textFill>
        </w:rPr>
        <w:t>经营性资产收益超非税目标任务1200万元，实际完成非税目标任务1453万元</w:t>
      </w:r>
      <w:r>
        <w:rPr>
          <w:rFonts w:hint="eastAsia"/>
          <w:color w:val="000000" w:themeColor="text1"/>
          <w:lang w:val="zh-CN"/>
          <w14:textFill>
            <w14:solidFill>
              <w14:schemeClr w14:val="tx1"/>
            </w14:solidFill>
          </w14:textFill>
        </w:rPr>
        <w:t>。</w:t>
      </w:r>
      <w:r>
        <w:rPr>
          <w:rFonts w:hint="eastAsia" w:ascii="仿宋_GB2312" w:hAnsi="宋体"/>
          <w:color w:val="000000" w:themeColor="text1"/>
          <w14:textFill>
            <w14:solidFill>
              <w14:schemeClr w14:val="tx1"/>
            </w14:solidFill>
          </w14:textFill>
        </w:rPr>
        <w:t>预算资金执行比率及实际完成指标值计算自评得分100分。</w:t>
      </w:r>
    </w:p>
    <w:p>
      <w:pPr>
        <w:adjustRightInd w:val="0"/>
        <w:snapToGrid w:val="0"/>
        <w:spacing w:line="576" w:lineRule="exact"/>
        <w:ind w:firstLine="640"/>
        <w:rPr>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（四）评价方法。</w:t>
      </w:r>
      <w:r>
        <w:rPr>
          <w:color w:val="000000" w:themeColor="text1"/>
          <w14:textFill>
            <w14:solidFill>
              <w14:schemeClr w14:val="tx1"/>
            </w14:solidFill>
          </w14:textFill>
        </w:rPr>
        <w:t>根据项目情况和评价重点，</w:t>
      </w:r>
      <w:r>
        <w:rPr>
          <w:rFonts w:hint="eastAsia"/>
          <w:color w:val="000000" w:themeColor="text1"/>
          <w14:textFill>
            <w14:solidFill>
              <w14:schemeClr w14:val="tx1"/>
            </w14:solidFill>
          </w14:textFill>
        </w:rPr>
        <w:t>用来</w:t>
      </w:r>
      <w:r>
        <w:rPr>
          <w:color w:val="000000" w:themeColor="text1"/>
          <w14:textFill>
            <w14:solidFill>
              <w14:schemeClr w14:val="tx1"/>
            </w14:solidFill>
          </w14:textFill>
        </w:rPr>
        <w:t>收集相关材料和开展具体评价</w:t>
      </w:r>
      <w:r>
        <w:rPr>
          <w:rFonts w:hint="eastAsia"/>
          <w:color w:val="000000" w:themeColor="text1"/>
          <w14:textFill>
            <w14:solidFill>
              <w14:schemeClr w14:val="tx1"/>
            </w14:solidFill>
          </w14:textFill>
        </w:rPr>
        <w:t>的方法</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包括：</w:t>
      </w:r>
      <w:r>
        <w:rPr>
          <w:color w:val="000000" w:themeColor="text1"/>
          <w14:textFill>
            <w14:solidFill>
              <w14:schemeClr w14:val="tx1"/>
            </w14:solidFill>
          </w14:textFill>
        </w:rPr>
        <w:t>采用</w:t>
      </w:r>
      <w:r>
        <w:rPr>
          <w:rFonts w:hint="eastAsia"/>
          <w:color w:val="000000" w:themeColor="text1"/>
          <w14:textFill>
            <w14:solidFill>
              <w14:schemeClr w14:val="tx1"/>
            </w14:solidFill>
          </w14:textFill>
        </w:rPr>
        <w:t>成本效益分析法、</w:t>
      </w:r>
      <w:r>
        <w:rPr>
          <w:color w:val="000000" w:themeColor="text1"/>
          <w14:textFill>
            <w14:solidFill>
              <w14:schemeClr w14:val="tx1"/>
            </w14:solidFill>
          </w14:textFill>
        </w:rPr>
        <w:t>单位自评法、实地勘察法、问卷调查法、等多种方法</w:t>
      </w:r>
      <w:r>
        <w:rPr>
          <w:rFonts w:hint="eastAsia"/>
          <w:color w:val="000000" w:themeColor="text1"/>
          <w14:textFill>
            <w14:solidFill>
              <w14:schemeClr w14:val="tx1"/>
            </w14:solidFill>
          </w14:textFill>
        </w:rPr>
        <w:t>。</w:t>
      </w:r>
    </w:p>
    <w:p>
      <w:pPr>
        <w:adjustRightInd w:val="0"/>
        <w:snapToGrid w:val="0"/>
        <w:spacing w:line="576" w:lineRule="exact"/>
        <w:ind w:firstLine="640"/>
        <w:rPr>
          <w:rFonts w:ascii="仿宋_GB2312" w:hAnsi="楷体_GB2312" w:cs="楷体_GB2312"/>
          <w:bCs/>
          <w:color w:val="000000" w:themeColor="text1"/>
          <w:lang w:val="zh-CN"/>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（五）评价组织。</w:t>
      </w:r>
      <w:r>
        <w:rPr>
          <w:rFonts w:hint="eastAsia" w:ascii="仿宋_GB2312" w:hAnsi="宋体"/>
          <w:color w:val="000000" w:themeColor="text1"/>
          <w:lang w:val="zh-CN"/>
          <w14:textFill>
            <w14:solidFill>
              <w14:schemeClr w14:val="tx1"/>
            </w14:solidFill>
          </w14:textFill>
        </w:rPr>
        <w:t>人员岗位分工明确，内部财务管理制度完善，会计核算准确，会计档案管理规范，资金管理流程科学。在项目资金管理、使用上，坚持专款专用，量入为出的原则，项目专用资金专款专用，达到预期目的。</w:t>
      </w:r>
    </w:p>
    <w:p>
      <w:pPr>
        <w:adjustRightInd w:val="0"/>
        <w:snapToGrid w:val="0"/>
        <w:spacing w:line="576" w:lineRule="exact"/>
        <w:ind w:firstLine="640" w:firstLineChars="200"/>
        <w:rPr>
          <w:rFonts w:ascii="仿宋_GB2312" w:hAnsi="宋体"/>
          <w:color w:val="000000" w:themeColor="text1"/>
          <w:lang w:val="zh-CN"/>
          <w14:textFill>
            <w14:solidFill>
              <w14:schemeClr w14:val="tx1"/>
            </w14:solidFill>
          </w14:textFill>
        </w:rPr>
      </w:pPr>
      <w:r>
        <w:rPr>
          <w:rFonts w:hint="eastAsia" w:ascii="黑体" w:hAnsi="宋体" w:eastAsia="黑体"/>
          <w:color w:val="000000" w:themeColor="text1"/>
          <w14:textFill>
            <w14:solidFill>
              <w14:schemeClr w14:val="tx1"/>
            </w14:solidFill>
          </w14:textFill>
        </w:rPr>
        <w:t>三、绩效分析</w:t>
      </w:r>
      <w:r>
        <w:rPr>
          <w:rFonts w:hint="eastAsia" w:ascii="仿宋_GB2312" w:hAnsi="宋体"/>
          <w:color w:val="000000" w:themeColor="text1"/>
          <w:lang w:val="zh-CN"/>
          <w14:textFill>
            <w14:solidFill>
              <w14:schemeClr w14:val="tx1"/>
            </w14:solidFill>
          </w14:textFill>
        </w:rPr>
        <w:tab/>
      </w:r>
    </w:p>
    <w:p>
      <w:pPr>
        <w:adjustRightInd w:val="0"/>
        <w:snapToGrid w:val="0"/>
        <w:spacing w:line="576" w:lineRule="exact"/>
        <w:ind w:firstLine="640"/>
        <w:rPr>
          <w:rFonts w:ascii="楷体_GB2312" w:hAnsi="宋体" w:eastAsia="楷体_GB2312"/>
          <w:b/>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（一）</w:t>
      </w:r>
      <w:r>
        <w:rPr>
          <w:rFonts w:hint="eastAsia" w:ascii="楷体_GB2312" w:hAnsi="宋体" w:eastAsia="楷体_GB2312"/>
          <w:b/>
          <w:color w:val="000000" w:themeColor="text1"/>
          <w14:textFill>
            <w14:solidFill>
              <w14:schemeClr w14:val="tx1"/>
            </w14:solidFill>
          </w14:textFill>
        </w:rPr>
        <w:t>通用指标</w:t>
      </w:r>
      <w:r>
        <w:rPr>
          <w:rFonts w:eastAsia="楷体_GB2312"/>
          <w:b/>
          <w:bCs/>
          <w:color w:val="000000" w:themeColor="text1"/>
          <w:kern w:val="0"/>
          <w:shd w:val="clear" w:color="auto" w:fill="FFFFFF"/>
          <w:lang w:val="zh-CN"/>
          <w14:textFill>
            <w14:solidFill>
              <w14:schemeClr w14:val="tx1"/>
            </w14:solidFill>
          </w14:textFill>
        </w:rPr>
        <w:t>绩效分析。</w:t>
      </w:r>
    </w:p>
    <w:p>
      <w:pPr>
        <w:adjustRightInd w:val="0"/>
        <w:snapToGrid w:val="0"/>
        <w:spacing w:line="576" w:lineRule="exact"/>
        <w:ind w:firstLine="640"/>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1.项目决策。</w:t>
      </w:r>
      <w:r>
        <w:rPr>
          <w:rFonts w:hint="eastAsia" w:ascii="仿宋_GB2312" w:hAnsi="楷体_GB2312" w:cs="楷体_GB2312"/>
          <w:color w:val="000000" w:themeColor="text1"/>
          <w14:textFill>
            <w14:solidFill>
              <w14:schemeClr w14:val="tx1"/>
            </w14:solidFill>
          </w14:textFill>
        </w:rPr>
        <w:t>关于加强市级行政事业单位经营性资产统一经营管理的通知广委办〔2010〕207号，市级行政事业单位经营性资产统一由市国有资产管理中心负责经营管理，资产收入直接缴入财政专户，由市政府统筹安排使用。经营性资产集中统一管理产生的管理费、维护维修费、税金等支出，按“收支两条线”原则，由市财政局纳入预算管理。</w:t>
      </w:r>
    </w:p>
    <w:p>
      <w:pPr>
        <w:adjustRightInd w:val="0"/>
        <w:snapToGrid w:val="0"/>
        <w:spacing w:line="576" w:lineRule="exact"/>
        <w:ind w:firstLine="640"/>
        <w:rPr>
          <w:rFonts w:ascii="仿宋_GB2312" w:hAnsi="楷体_GB2312" w:cs="楷体_GB2312"/>
          <w:bCs/>
          <w:color w:val="000000" w:themeColor="text1"/>
          <w:lang w:val="zh-CN"/>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2.项目管理。</w:t>
      </w:r>
      <w:r>
        <w:rPr>
          <w:rFonts w:hint="eastAsia" w:ascii="仿宋_GB2312" w:hAnsi="仿宋_GB2312" w:cs="仿宋_GB2312"/>
          <w:color w:val="000000" w:themeColor="text1"/>
          <w:kern w:val="0"/>
          <w14:textFill>
            <w14:solidFill>
              <w14:schemeClr w14:val="tx1"/>
            </w14:solidFill>
          </w14:textFill>
        </w:rPr>
        <w:t>按照《财务管理制度》和财政批复要求，按直缴入财政专户资产收益申报出租房屋相关税费支付，并主动接受税务、财政、审计部门的监督检查。在资金使用过程中，</w:t>
      </w:r>
      <w:r>
        <w:rPr>
          <w:rFonts w:hint="eastAsia" w:ascii="仿宋_GB2312" w:hAnsi="仿宋_GB2312" w:cs="仿宋_GB2312"/>
          <w:color w:val="000000" w:themeColor="text1"/>
          <w14:textFill>
            <w14:solidFill>
              <w14:schemeClr w14:val="tx1"/>
            </w14:solidFill>
          </w14:textFill>
        </w:rPr>
        <w:t>加强专项资金使用的监督管理，确保专项资金</w:t>
      </w:r>
      <w:r>
        <w:rPr>
          <w:rFonts w:hint="eastAsia" w:ascii="仿宋_GB2312" w:hAnsi="仿宋_GB2312" w:cs="仿宋_GB2312"/>
          <w:bCs/>
          <w:color w:val="000000" w:themeColor="text1"/>
          <w:lang w:val="zh-CN"/>
          <w14:textFill>
            <w14:solidFill>
              <w14:schemeClr w14:val="tx1"/>
            </w14:solidFill>
          </w14:textFill>
        </w:rPr>
        <w:t>支付依据合规合法，会计核算规范，财务处理及时。</w:t>
      </w:r>
    </w:p>
    <w:p>
      <w:pPr>
        <w:overflowPunct w:val="0"/>
        <w:adjustRightInd w:val="0"/>
        <w:snapToGrid w:val="0"/>
        <w:spacing w:line="576" w:lineRule="exact"/>
        <w:ind w:firstLine="640" w:firstLineChars="200"/>
        <w:textAlignment w:val="center"/>
        <w:rPr>
          <w:rFonts w:ascii="仿宋_GB2312" w:hAnsi="仿宋_GB2312" w:cs="仿宋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3.项目实施。</w:t>
      </w:r>
      <w:r>
        <w:rPr>
          <w:rFonts w:hint="eastAsia" w:ascii="仿宋_GB2312" w:hAnsi="仿宋_GB2312"/>
          <w:color w:val="000000" w:themeColor="text1"/>
          <w14:textFill>
            <w14:solidFill>
              <w14:schemeClr w14:val="tx1"/>
            </w14:solidFill>
          </w14:textFill>
        </w:rPr>
        <w:t>预算申报、</w:t>
      </w:r>
      <w:r>
        <w:rPr>
          <w:rFonts w:hint="eastAsia"/>
          <w:color w:val="000000" w:themeColor="text1"/>
          <w14:textFill>
            <w14:solidFill>
              <w14:schemeClr w14:val="tx1"/>
            </w14:solidFill>
          </w14:textFill>
        </w:rPr>
        <w:t>预算</w:t>
      </w:r>
      <w:r>
        <w:rPr>
          <w:rFonts w:hint="eastAsia"/>
          <w:color w:val="000000" w:themeColor="text1"/>
          <w:lang w:val="zh-CN"/>
          <w14:textFill>
            <w14:solidFill>
              <w14:schemeClr w14:val="tx1"/>
            </w14:solidFill>
          </w14:textFill>
        </w:rPr>
        <w:t>执行</w:t>
      </w:r>
      <w:r>
        <w:rPr>
          <w:rFonts w:hint="eastAsia" w:ascii="仿宋_GB2312" w:hAnsi="宋体"/>
          <w:color w:val="000000" w:themeColor="text1"/>
          <w:lang w:val="zh-CN"/>
          <w14:textFill>
            <w14:solidFill>
              <w14:schemeClr w14:val="tx1"/>
            </w14:solidFill>
          </w14:textFill>
        </w:rPr>
        <w:t>项目资金到位后，</w:t>
      </w:r>
      <w:r>
        <w:rPr>
          <w:rFonts w:hint="eastAsia" w:ascii="仿宋_GB2312" w:hAnsi="宋体"/>
          <w:color w:val="000000" w:themeColor="text1"/>
          <w14:textFill>
            <w14:solidFill>
              <w14:schemeClr w14:val="tx1"/>
            </w14:solidFill>
          </w14:textFill>
        </w:rPr>
        <w:t>四川省电子税务系统申报税款缴纳。</w:t>
      </w:r>
    </w:p>
    <w:p>
      <w:pPr>
        <w:adjustRightInd w:val="0"/>
        <w:snapToGrid w:val="0"/>
        <w:spacing w:line="576" w:lineRule="exact"/>
        <w:ind w:firstLine="640"/>
        <w:rPr>
          <w:rFonts w:ascii="仿宋_GB2312" w:hAnsi="仿宋_GB2312" w:cs="仿宋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4.项目结果。</w:t>
      </w:r>
      <w:r>
        <w:rPr>
          <w:rFonts w:hint="eastAsia" w:ascii="仿宋_GB2312" w:hAnsi="宋体"/>
          <w:color w:val="000000" w:themeColor="text1"/>
          <w:lang w:val="zh-CN"/>
          <w14:textFill>
            <w14:solidFill>
              <w14:schemeClr w14:val="tx1"/>
            </w14:solidFill>
          </w14:textFill>
        </w:rPr>
        <w:t>该项目专用资金用于</w:t>
      </w:r>
      <w:r>
        <w:rPr>
          <w:rFonts w:hint="eastAsia" w:ascii="仿宋_GB2312" w:hAnsi="仿宋_GB2312" w:cs="仿宋_GB2312"/>
          <w:color w:val="000000" w:themeColor="text1"/>
          <w:kern w:val="0"/>
          <w14:textFill>
            <w14:solidFill>
              <w14:schemeClr w14:val="tx1"/>
            </w14:solidFill>
          </w14:textFill>
        </w:rPr>
        <w:t>按资产收益申报出租房屋相关税费支付</w:t>
      </w:r>
      <w:r>
        <w:rPr>
          <w:rFonts w:hint="eastAsia" w:ascii="仿宋_GB2312" w:hAnsi="宋体"/>
          <w:color w:val="000000" w:themeColor="text1"/>
          <w:lang w:val="zh-CN"/>
          <w14:textFill>
            <w14:solidFill>
              <w14:schemeClr w14:val="tx1"/>
            </w14:solidFill>
          </w14:textFill>
        </w:rPr>
        <w:t>，项目所申报内容与实际</w:t>
      </w:r>
      <w:r>
        <w:rPr>
          <w:rFonts w:hint="eastAsia" w:ascii="仿宋_GB2312" w:hAnsi="宋体"/>
          <w:color w:val="000000" w:themeColor="text1"/>
          <w14:textFill>
            <w14:solidFill>
              <w14:schemeClr w14:val="tx1"/>
            </w14:solidFill>
          </w14:textFill>
        </w:rPr>
        <w:t>资金使用情况</w:t>
      </w:r>
      <w:r>
        <w:rPr>
          <w:rFonts w:hint="eastAsia" w:ascii="仿宋_GB2312" w:hAnsi="宋体"/>
          <w:color w:val="000000" w:themeColor="text1"/>
          <w:lang w:val="zh-CN"/>
          <w14:textFill>
            <w14:solidFill>
              <w14:schemeClr w14:val="tx1"/>
            </w14:solidFill>
          </w14:textFill>
        </w:rPr>
        <w:t>相符，申报目标合规可行。</w:t>
      </w:r>
    </w:p>
    <w:p>
      <w:pPr>
        <w:adjustRightInd w:val="0"/>
        <w:snapToGrid w:val="0"/>
        <w:spacing w:line="576" w:lineRule="exact"/>
        <w:ind w:firstLine="642" w:firstLineChars="200"/>
        <w:rPr>
          <w:rFonts w:ascii="楷体_GB2312" w:hAnsi="楷体_GB2312" w:eastAsia="楷体_GB2312" w:cs="楷体_GB2312"/>
          <w:color w:val="000000" w:themeColor="text1"/>
          <w:lang w:val="zh-CN"/>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（二）</w:t>
      </w:r>
      <w:r>
        <w:rPr>
          <w:rFonts w:hint="eastAsia" w:ascii="楷体_GB2312" w:hAnsi="宋体" w:eastAsia="楷体_GB2312"/>
          <w:b/>
          <w:color w:val="000000" w:themeColor="text1"/>
          <w14:textFill>
            <w14:solidFill>
              <w14:schemeClr w14:val="tx1"/>
            </w14:solidFill>
          </w14:textFill>
        </w:rPr>
        <w:t>专用指标</w:t>
      </w:r>
      <w:r>
        <w:rPr>
          <w:rFonts w:eastAsia="楷体_GB2312"/>
          <w:b/>
          <w:bCs/>
          <w:color w:val="000000" w:themeColor="text1"/>
          <w:kern w:val="0"/>
          <w:shd w:val="clear" w:color="auto" w:fill="FFFFFF"/>
          <w:lang w:val="zh-CN"/>
          <w14:textFill>
            <w14:solidFill>
              <w14:schemeClr w14:val="tx1"/>
            </w14:solidFill>
          </w14:textFill>
        </w:rPr>
        <w:t>绩效分析。</w:t>
      </w:r>
    </w:p>
    <w:p>
      <w:pPr>
        <w:adjustRightInd w:val="0"/>
        <w:snapToGrid w:val="0"/>
        <w:spacing w:line="576" w:lineRule="exact"/>
        <w:ind w:firstLine="640" w:firstLineChars="200"/>
        <w:rPr>
          <w:rFonts w:ascii="仿宋_GB2312" w:hAnsi="宋体"/>
          <w:color w:val="000000" w:themeColor="text1"/>
          <w:lang w:val="zh-CN"/>
          <w14:textFill>
            <w14:solidFill>
              <w14:schemeClr w14:val="tx1"/>
            </w14:solidFill>
          </w14:textFill>
        </w:rPr>
      </w:pPr>
      <w:r>
        <w:rPr>
          <w:rFonts w:hint="eastAsia" w:ascii="仿宋_GB2312" w:hAnsi="宋体"/>
          <w:color w:val="000000" w:themeColor="text1"/>
          <w14:textFill>
            <w14:solidFill>
              <w14:schemeClr w14:val="tx1"/>
            </w14:solidFill>
          </w14:textFill>
        </w:rPr>
        <w:t>财政年初预算批复专项资金279万元，当年缴纳相关税费279万元，</w:t>
      </w:r>
      <w:r>
        <w:rPr>
          <w:rFonts w:hint="eastAsia" w:ascii="楷体_GB2312" w:eastAsia="楷体_GB2312"/>
          <w:color w:val="000000" w:themeColor="text1"/>
          <w14:textFill>
            <w14:solidFill>
              <w14:schemeClr w14:val="tx1"/>
            </w14:solidFill>
          </w14:textFill>
        </w:rPr>
        <w:t>出租房屋税费</w:t>
      </w:r>
      <w:r>
        <w:rPr>
          <w:rFonts w:hint="eastAsia" w:ascii="仿宋_GB2312" w:hAnsi="宋体"/>
          <w:color w:val="000000" w:themeColor="text1"/>
          <w14:textFill>
            <w14:solidFill>
              <w14:schemeClr w14:val="tx1"/>
            </w14:solidFill>
          </w14:textFill>
        </w:rPr>
        <w:t>项目经费的使用，严格按照税法规定，以每月非税收入为基数及时缴纳，本年度缴纳12次。专款专用，该项目资金支出规范且有效，与编制预算相符。承租户租房争议率控制在1%以内，管理部门满意度100%。我单位今年完成签订合同483户，超额完成市财政局下达非税任务，税务部门针对我单位缴纳满意率达100%。</w:t>
      </w:r>
    </w:p>
    <w:p>
      <w:pPr>
        <w:adjustRightInd w:val="0"/>
        <w:snapToGrid w:val="0"/>
        <w:spacing w:line="576" w:lineRule="exact"/>
        <w:ind w:firstLine="640"/>
        <w:rPr>
          <w:color w:val="000000" w:themeColor="text1"/>
          <w14:textFill>
            <w14:solidFill>
              <w14:schemeClr w14:val="tx1"/>
            </w14:solidFill>
          </w14:textFill>
        </w:rPr>
      </w:pPr>
      <w:r>
        <w:rPr>
          <w:rFonts w:hint="eastAsia" w:ascii="楷体_GB2312" w:hAnsi="宋体" w:eastAsia="楷体_GB2312"/>
          <w:b/>
          <w:color w:val="000000" w:themeColor="text1"/>
          <w:lang w:val="zh-CN"/>
          <w14:textFill>
            <w14:solidFill>
              <w14:schemeClr w14:val="tx1"/>
            </w14:solidFill>
          </w14:textFill>
        </w:rPr>
        <w:t>（三）</w:t>
      </w:r>
      <w:r>
        <w:rPr>
          <w:rFonts w:hint="eastAsia" w:ascii="楷体_GB2312" w:hAnsi="宋体" w:eastAsia="楷体_GB2312"/>
          <w:b/>
          <w:color w:val="000000" w:themeColor="text1"/>
          <w14:textFill>
            <w14:solidFill>
              <w14:schemeClr w14:val="tx1"/>
            </w14:solidFill>
          </w14:textFill>
        </w:rPr>
        <w:t>个性指标</w:t>
      </w:r>
      <w:r>
        <w:rPr>
          <w:rFonts w:eastAsia="楷体_GB2312"/>
          <w:b/>
          <w:bCs/>
          <w:color w:val="000000" w:themeColor="text1"/>
          <w:kern w:val="0"/>
          <w:shd w:val="clear" w:color="auto" w:fill="FFFFFF"/>
          <w:lang w:val="zh-CN"/>
          <w14:textFill>
            <w14:solidFill>
              <w14:schemeClr w14:val="tx1"/>
            </w14:solidFill>
          </w14:textFill>
        </w:rPr>
        <w:t>绩效分析。</w:t>
      </w:r>
      <w:r>
        <w:rPr>
          <w:rFonts w:hint="eastAsia"/>
          <w:color w:val="000000" w:themeColor="text1"/>
          <w:lang w:val="zh-CN"/>
          <w14:textFill>
            <w14:solidFill>
              <w14:schemeClr w14:val="tx1"/>
            </w14:solidFill>
          </w14:textFill>
        </w:rPr>
        <w:t>2023年度内完成经营性资产收益直缴财政专户1453万元。超额完成年初设置1200万元的目标任务，出租房屋税费支付279万元。</w:t>
      </w:r>
    </w:p>
    <w:p>
      <w:pPr>
        <w:adjustRightInd w:val="0"/>
        <w:snapToGrid w:val="0"/>
        <w:spacing w:line="576" w:lineRule="exact"/>
        <w:ind w:firstLine="640"/>
        <w:rPr>
          <w:rFonts w:ascii="黑体" w:hAnsi="黑体" w:eastAsia="黑体" w:cs="黑体"/>
          <w:bCs/>
          <w:color w:val="000000" w:themeColor="text1"/>
          <w14:textFill>
            <w14:solidFill>
              <w14:schemeClr w14:val="tx1"/>
            </w14:solidFill>
          </w14:textFill>
        </w:rPr>
      </w:pPr>
      <w:r>
        <w:rPr>
          <w:rFonts w:hint="eastAsia" w:ascii="黑体" w:hAnsi="黑体" w:eastAsia="黑体" w:cs="黑体"/>
          <w:bCs/>
          <w:color w:val="000000" w:themeColor="text1"/>
          <w14:textFill>
            <w14:solidFill>
              <w14:schemeClr w14:val="tx1"/>
            </w14:solidFill>
          </w14:textFill>
        </w:rPr>
        <w:t>四、评价结论</w:t>
      </w:r>
    </w:p>
    <w:p>
      <w:pPr>
        <w:adjustRightInd w:val="0"/>
        <w:snapToGrid w:val="0"/>
        <w:spacing w:line="576" w:lineRule="exact"/>
        <w:ind w:firstLine="640"/>
        <w:rPr>
          <w:rFonts w:ascii="仿宋" w:hAnsi="仿宋"/>
          <w:color w:val="000000" w:themeColor="text1"/>
          <w:sz w:val="30"/>
          <w:szCs w:val="30"/>
          <w14:textFill>
            <w14:solidFill>
              <w14:schemeClr w14:val="tx1"/>
            </w14:solidFill>
          </w14:textFill>
        </w:rPr>
      </w:pPr>
      <w:r>
        <w:rPr>
          <w:rFonts w:hint="eastAsia" w:ascii="仿宋_GB2312"/>
          <w:color w:val="000000" w:themeColor="text1"/>
          <w14:textFill>
            <w14:solidFill>
              <w14:schemeClr w14:val="tx1"/>
            </w14:solidFill>
          </w14:textFill>
        </w:rPr>
        <w:t>部门自评预算执行得分10分，绩效指标得分90分，项目自评得分100分。</w:t>
      </w:r>
      <w:r>
        <w:rPr>
          <w:rFonts w:hint="eastAsia" w:ascii="仿宋_GB2312" w:hAnsi="宋体"/>
          <w:color w:val="000000" w:themeColor="text1"/>
          <w:lang w:val="zh-CN"/>
          <w14:textFill>
            <w14:solidFill>
              <w14:schemeClr w14:val="tx1"/>
            </w14:solidFill>
          </w14:textFill>
        </w:rPr>
        <w:t>完成年初批复的项目</w:t>
      </w:r>
      <w:r>
        <w:rPr>
          <w:rFonts w:hint="eastAsia" w:ascii="仿宋_GB2312" w:hAnsi="宋体"/>
          <w:color w:val="000000" w:themeColor="text1"/>
          <w14:textFill>
            <w14:solidFill>
              <w14:schemeClr w14:val="tx1"/>
            </w14:solidFill>
          </w14:textFill>
        </w:rPr>
        <w:t>资金支付成本为279万元。</w:t>
      </w:r>
    </w:p>
    <w:p>
      <w:pPr>
        <w:pStyle w:val="2"/>
        <w:adjustRightInd w:val="0"/>
        <w:snapToGrid w:val="0"/>
        <w:spacing w:before="93" w:line="576"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五、存在主要问题</w:t>
      </w:r>
    </w:p>
    <w:p>
      <w:pPr>
        <w:pStyle w:val="2"/>
        <w:adjustRightInd w:val="0"/>
        <w:snapToGrid w:val="0"/>
        <w:spacing w:before="93" w:line="576" w:lineRule="exact"/>
        <w:ind w:firstLine="640" w:firstLineChars="200"/>
        <w:rPr>
          <w:rFonts w:hAnsi="方正仿宋_GBK" w:cs="方正仿宋_GBK"/>
          <w:color w:val="000000" w:themeColor="text1"/>
          <w:sz w:val="32"/>
          <w:szCs w:val="32"/>
          <w14:textFill>
            <w14:solidFill>
              <w14:schemeClr w14:val="tx1"/>
            </w14:solidFill>
          </w14:textFill>
        </w:rPr>
      </w:pPr>
      <w:r>
        <w:rPr>
          <w:rFonts w:hint="eastAsia" w:hAnsi="方正仿宋_GBK" w:cs="方正仿宋_GBK"/>
          <w:color w:val="000000" w:themeColor="text1"/>
          <w:sz w:val="32"/>
          <w:szCs w:val="32"/>
          <w14:textFill>
            <w14:solidFill>
              <w14:schemeClr w14:val="tx1"/>
            </w14:solidFill>
          </w14:textFill>
        </w:rPr>
        <w:t>部分绩效指标的可衡量性不高、细化程度不够，难以保证绩效目标设定的全面性。</w:t>
      </w:r>
    </w:p>
    <w:p>
      <w:pPr>
        <w:pStyle w:val="2"/>
        <w:adjustRightInd w:val="0"/>
        <w:snapToGrid w:val="0"/>
        <w:spacing w:before="93" w:line="576"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六、改进建议</w:t>
      </w:r>
    </w:p>
    <w:p>
      <w:pPr>
        <w:overflowPunct w:val="0"/>
        <w:adjustRightInd w:val="0"/>
        <w:snapToGrid w:val="0"/>
        <w:spacing w:line="576" w:lineRule="exact"/>
        <w:ind w:firstLine="640" w:firstLineChars="200"/>
        <w:rPr>
          <w:rFonts w:ascii="仿宋_GB2312" w:hAnsi="仿宋" w:cs="宋体"/>
          <w:color w:val="000000" w:themeColor="text1"/>
          <w:kern w:val="0"/>
          <w14:textFill>
            <w14:solidFill>
              <w14:schemeClr w14:val="tx1"/>
            </w14:solidFill>
          </w14:textFill>
        </w:rPr>
      </w:pPr>
      <w:r>
        <w:rPr>
          <w:rFonts w:hint="eastAsia" w:ascii="仿宋_GB2312" w:hAnsi="仿宋" w:cs="宋体"/>
          <w:color w:val="000000" w:themeColor="text1"/>
          <w:kern w:val="0"/>
          <w14:textFill>
            <w14:solidFill>
              <w14:schemeClr w14:val="tx1"/>
            </w14:solidFill>
          </w14:textFill>
        </w:rPr>
        <w:t>在设定量化细化绩效目标时，科学合理设置绩效指标年度指标值，项目预算执行中及时、有效，绩效目标可以得到较好实现，使绩效管理水平不断提高，真正发挥绩效管理作用。</w:t>
      </w:r>
    </w:p>
    <w:p>
      <w:pPr>
        <w:pStyle w:val="2"/>
        <w:spacing w:before="93" w:line="576" w:lineRule="exact"/>
      </w:pPr>
    </w:p>
    <w:p>
      <w:pPr>
        <w:pStyle w:val="2"/>
        <w:spacing w:before="93" w:line="576" w:lineRule="exact"/>
      </w:pPr>
    </w:p>
    <w:p>
      <w:pPr>
        <w:pStyle w:val="2"/>
        <w:tabs>
          <w:tab w:val="left" w:pos="1087"/>
        </w:tabs>
        <w:spacing w:before="93" w:line="576" w:lineRule="exact"/>
      </w:pPr>
    </w:p>
    <w:p>
      <w:pPr>
        <w:pStyle w:val="2"/>
        <w:tabs>
          <w:tab w:val="left" w:pos="1087"/>
        </w:tabs>
        <w:spacing w:before="93" w:line="576" w:lineRule="exact"/>
      </w:pPr>
    </w:p>
    <w:p>
      <w:pPr>
        <w:spacing w:line="576" w:lineRule="exact"/>
        <w:jc w:val="center"/>
        <w:outlineLvl w:val="0"/>
        <w:rPr>
          <w:rFonts w:ascii="仿宋" w:hAnsi="仿宋" w:eastAsia="仿宋"/>
        </w:rPr>
      </w:pPr>
      <w:bookmarkStart w:id="85" w:name="_Toc15396618"/>
      <w:bookmarkStart w:id="86" w:name="_Toc146616505"/>
      <w:r>
        <w:rPr>
          <w:rFonts w:hint="eastAsia" w:ascii="黑体" w:hAnsi="黑体" w:eastAsia="黑体"/>
          <w:sz w:val="44"/>
          <w:szCs w:val="44"/>
        </w:rPr>
        <w:t>第</w:t>
      </w:r>
      <w:r>
        <w:rPr>
          <w:rStyle w:val="32"/>
          <w:rFonts w:hint="eastAsia" w:ascii="黑体" w:hAnsi="黑体" w:eastAsia="黑体"/>
          <w:b w:val="0"/>
        </w:rPr>
        <w:t>五部分 附表</w:t>
      </w:r>
      <w:bookmarkEnd w:id="80"/>
      <w:bookmarkEnd w:id="85"/>
      <w:bookmarkEnd w:id="86"/>
      <w:bookmarkStart w:id="87" w:name="_Toc15396619"/>
    </w:p>
    <w:p>
      <w:pPr>
        <w:pStyle w:val="4"/>
        <w:spacing w:line="576" w:lineRule="exact"/>
        <w:rPr>
          <w:rFonts w:ascii="仿宋" w:hAnsi="仿宋" w:eastAsia="仿宋"/>
        </w:rPr>
      </w:pPr>
      <w:bookmarkStart w:id="88" w:name="_Toc146616506"/>
      <w:r>
        <w:rPr>
          <w:rFonts w:hint="eastAsia" w:ascii="仿宋" w:hAnsi="仿宋" w:eastAsia="仿宋"/>
          <w:b w:val="0"/>
        </w:rPr>
        <w:t>一、收</w:t>
      </w:r>
      <w:r>
        <w:rPr>
          <w:rStyle w:val="33"/>
          <w:rFonts w:hint="eastAsia" w:ascii="仿宋" w:hAnsi="仿宋" w:eastAsia="仿宋"/>
          <w:b w:val="0"/>
          <w:bCs w:val="0"/>
        </w:rPr>
        <w:t>入支出决算总表</w:t>
      </w:r>
      <w:bookmarkEnd w:id="87"/>
      <w:bookmarkEnd w:id="88"/>
    </w:p>
    <w:p>
      <w:pPr>
        <w:pStyle w:val="4"/>
        <w:spacing w:line="576" w:lineRule="exact"/>
        <w:rPr>
          <w:rFonts w:ascii="仿宋" w:hAnsi="仿宋" w:eastAsia="仿宋"/>
        </w:rPr>
      </w:pPr>
      <w:bookmarkStart w:id="89" w:name="_Toc15396620"/>
      <w:bookmarkStart w:id="90" w:name="_Toc146616507"/>
      <w:r>
        <w:rPr>
          <w:rFonts w:hint="eastAsia" w:ascii="仿宋" w:hAnsi="仿宋" w:eastAsia="仿宋"/>
          <w:b w:val="0"/>
        </w:rPr>
        <w:t>二、收</w:t>
      </w:r>
      <w:r>
        <w:rPr>
          <w:rStyle w:val="33"/>
          <w:rFonts w:hint="eastAsia" w:ascii="仿宋" w:hAnsi="仿宋" w:eastAsia="仿宋"/>
          <w:b w:val="0"/>
          <w:bCs w:val="0"/>
        </w:rPr>
        <w:t>入决算表</w:t>
      </w:r>
      <w:bookmarkEnd w:id="89"/>
      <w:bookmarkEnd w:id="90"/>
    </w:p>
    <w:p>
      <w:pPr>
        <w:pStyle w:val="4"/>
        <w:spacing w:line="576" w:lineRule="exact"/>
        <w:rPr>
          <w:rFonts w:ascii="仿宋" w:hAnsi="仿宋" w:eastAsia="仿宋"/>
        </w:rPr>
      </w:pPr>
      <w:bookmarkStart w:id="91" w:name="_Toc15396621"/>
      <w:bookmarkStart w:id="92" w:name="_Toc146616508"/>
      <w:r>
        <w:rPr>
          <w:rStyle w:val="33"/>
          <w:rFonts w:hint="eastAsia" w:ascii="仿宋" w:hAnsi="仿宋" w:eastAsia="仿宋"/>
          <w:b w:val="0"/>
          <w:bCs w:val="0"/>
        </w:rPr>
        <w:t>三、</w:t>
      </w:r>
      <w:r>
        <w:rPr>
          <w:rFonts w:hint="eastAsia" w:ascii="仿宋" w:hAnsi="仿宋" w:eastAsia="仿宋"/>
          <w:b w:val="0"/>
        </w:rPr>
        <w:t>支</w:t>
      </w:r>
      <w:r>
        <w:rPr>
          <w:rStyle w:val="33"/>
          <w:rFonts w:hint="eastAsia" w:ascii="仿宋" w:hAnsi="仿宋" w:eastAsia="仿宋"/>
          <w:b w:val="0"/>
          <w:bCs w:val="0"/>
        </w:rPr>
        <w:t>出决算表</w:t>
      </w:r>
      <w:bookmarkEnd w:id="91"/>
      <w:bookmarkEnd w:id="92"/>
    </w:p>
    <w:p>
      <w:pPr>
        <w:pStyle w:val="4"/>
        <w:spacing w:line="576" w:lineRule="exact"/>
        <w:rPr>
          <w:rFonts w:ascii="仿宋" w:hAnsi="仿宋" w:eastAsia="仿宋"/>
          <w:b w:val="0"/>
        </w:rPr>
      </w:pPr>
      <w:bookmarkStart w:id="93" w:name="_Toc15396622"/>
      <w:bookmarkStart w:id="94" w:name="_Toc146616509"/>
      <w:r>
        <w:rPr>
          <w:rStyle w:val="33"/>
          <w:rFonts w:hint="eastAsia" w:ascii="仿宋" w:hAnsi="仿宋" w:eastAsia="仿宋"/>
          <w:b w:val="0"/>
          <w:bCs w:val="0"/>
        </w:rPr>
        <w:t>四、</w:t>
      </w:r>
      <w:r>
        <w:rPr>
          <w:rFonts w:hint="eastAsia" w:ascii="仿宋" w:hAnsi="仿宋" w:eastAsia="仿宋"/>
          <w:b w:val="0"/>
        </w:rPr>
        <w:t>财</w:t>
      </w:r>
      <w:r>
        <w:rPr>
          <w:rStyle w:val="33"/>
          <w:rFonts w:hint="eastAsia" w:ascii="仿宋" w:hAnsi="仿宋" w:eastAsia="仿宋"/>
          <w:b w:val="0"/>
          <w:bCs w:val="0"/>
        </w:rPr>
        <w:t>政拨款收入支出决算总表</w:t>
      </w:r>
      <w:bookmarkEnd w:id="93"/>
      <w:bookmarkEnd w:id="94"/>
    </w:p>
    <w:p>
      <w:pPr>
        <w:pStyle w:val="4"/>
        <w:spacing w:line="576" w:lineRule="exact"/>
        <w:rPr>
          <w:rStyle w:val="33"/>
          <w:rFonts w:ascii="仿宋" w:hAnsi="仿宋" w:eastAsia="仿宋"/>
          <w:b w:val="0"/>
          <w:bCs w:val="0"/>
        </w:rPr>
      </w:pPr>
      <w:bookmarkStart w:id="95" w:name="_Toc15396623"/>
      <w:bookmarkStart w:id="96" w:name="_Toc146616510"/>
      <w:r>
        <w:rPr>
          <w:rStyle w:val="33"/>
          <w:rFonts w:hint="eastAsia" w:ascii="仿宋" w:hAnsi="仿宋" w:eastAsia="仿宋"/>
          <w:b w:val="0"/>
          <w:bCs w:val="0"/>
        </w:rPr>
        <w:t>五、</w:t>
      </w:r>
      <w:r>
        <w:rPr>
          <w:rFonts w:hint="eastAsia" w:ascii="仿宋" w:hAnsi="仿宋" w:eastAsia="仿宋"/>
          <w:b w:val="0"/>
        </w:rPr>
        <w:t>财</w:t>
      </w:r>
      <w:r>
        <w:rPr>
          <w:rStyle w:val="33"/>
          <w:rFonts w:hint="eastAsia" w:ascii="仿宋" w:hAnsi="仿宋" w:eastAsia="仿宋"/>
          <w:b w:val="0"/>
          <w:bCs w:val="0"/>
        </w:rPr>
        <w:t>政拨款支出决算明细表</w:t>
      </w:r>
      <w:bookmarkEnd w:id="95"/>
      <w:bookmarkEnd w:id="96"/>
      <w:bookmarkStart w:id="97" w:name="_Toc15396624"/>
    </w:p>
    <w:p>
      <w:pPr>
        <w:pStyle w:val="4"/>
        <w:spacing w:line="576" w:lineRule="exact"/>
        <w:rPr>
          <w:rFonts w:ascii="仿宋" w:hAnsi="仿宋" w:eastAsia="仿宋"/>
        </w:rPr>
      </w:pPr>
      <w:bookmarkStart w:id="98" w:name="_Toc146616511"/>
      <w:r>
        <w:rPr>
          <w:rStyle w:val="33"/>
          <w:rFonts w:hint="eastAsia" w:ascii="仿宋" w:hAnsi="仿宋" w:eastAsia="仿宋"/>
          <w:b w:val="0"/>
          <w:bCs w:val="0"/>
        </w:rPr>
        <w:t>六、</w:t>
      </w:r>
      <w:r>
        <w:rPr>
          <w:rFonts w:hint="eastAsia" w:ascii="仿宋" w:hAnsi="仿宋" w:eastAsia="仿宋"/>
          <w:b w:val="0"/>
        </w:rPr>
        <w:t>一</w:t>
      </w:r>
      <w:r>
        <w:rPr>
          <w:rStyle w:val="33"/>
          <w:rFonts w:hint="eastAsia" w:ascii="仿宋" w:hAnsi="仿宋" w:eastAsia="仿宋"/>
          <w:b w:val="0"/>
          <w:bCs w:val="0"/>
        </w:rPr>
        <w:t>般公共预算财政拨款支出决算表</w:t>
      </w:r>
      <w:bookmarkEnd w:id="97"/>
      <w:bookmarkEnd w:id="98"/>
    </w:p>
    <w:p>
      <w:pPr>
        <w:pStyle w:val="4"/>
        <w:spacing w:line="576" w:lineRule="exact"/>
        <w:rPr>
          <w:rFonts w:ascii="仿宋" w:hAnsi="仿宋" w:eastAsia="仿宋"/>
        </w:rPr>
      </w:pPr>
      <w:bookmarkStart w:id="99" w:name="_Toc15396625"/>
      <w:bookmarkStart w:id="100" w:name="_Toc146616512"/>
      <w:r>
        <w:rPr>
          <w:rStyle w:val="33"/>
          <w:rFonts w:hint="eastAsia" w:ascii="仿宋" w:hAnsi="仿宋" w:eastAsia="仿宋"/>
          <w:b w:val="0"/>
          <w:bCs w:val="0"/>
        </w:rPr>
        <w:t>七、</w:t>
      </w:r>
      <w:r>
        <w:rPr>
          <w:rFonts w:hint="eastAsia" w:ascii="仿宋" w:hAnsi="仿宋" w:eastAsia="仿宋"/>
          <w:b w:val="0"/>
        </w:rPr>
        <w:t>一</w:t>
      </w:r>
      <w:r>
        <w:rPr>
          <w:rStyle w:val="33"/>
          <w:rFonts w:hint="eastAsia" w:ascii="仿宋" w:hAnsi="仿宋" w:eastAsia="仿宋"/>
          <w:b w:val="0"/>
          <w:bCs w:val="0"/>
        </w:rPr>
        <w:t>般公共预算财政拨款支出决算明细表</w:t>
      </w:r>
      <w:bookmarkEnd w:id="99"/>
      <w:bookmarkEnd w:id="100"/>
    </w:p>
    <w:p>
      <w:pPr>
        <w:pStyle w:val="4"/>
        <w:spacing w:line="576" w:lineRule="exact"/>
        <w:rPr>
          <w:rFonts w:ascii="仿宋" w:hAnsi="仿宋" w:eastAsia="仿宋"/>
        </w:rPr>
      </w:pPr>
      <w:bookmarkStart w:id="101" w:name="_Toc15396626"/>
      <w:bookmarkStart w:id="102" w:name="_Toc146616513"/>
      <w:r>
        <w:rPr>
          <w:rStyle w:val="33"/>
          <w:rFonts w:hint="eastAsia" w:ascii="仿宋" w:hAnsi="仿宋" w:eastAsia="仿宋"/>
          <w:b w:val="0"/>
          <w:bCs w:val="0"/>
        </w:rPr>
        <w:t>八、</w:t>
      </w:r>
      <w:r>
        <w:rPr>
          <w:rFonts w:hint="eastAsia" w:ascii="仿宋" w:hAnsi="仿宋" w:eastAsia="仿宋"/>
          <w:b w:val="0"/>
        </w:rPr>
        <w:t>一</w:t>
      </w:r>
      <w:r>
        <w:rPr>
          <w:rStyle w:val="33"/>
          <w:rFonts w:hint="eastAsia" w:ascii="仿宋" w:hAnsi="仿宋" w:eastAsia="仿宋"/>
          <w:b w:val="0"/>
          <w:bCs w:val="0"/>
        </w:rPr>
        <w:t>般公共预算财政拨款基本支出决算表</w:t>
      </w:r>
      <w:bookmarkEnd w:id="101"/>
      <w:bookmarkEnd w:id="102"/>
    </w:p>
    <w:p>
      <w:pPr>
        <w:pStyle w:val="4"/>
        <w:spacing w:line="576" w:lineRule="exact"/>
        <w:rPr>
          <w:rFonts w:ascii="仿宋" w:hAnsi="仿宋" w:eastAsia="仿宋"/>
        </w:rPr>
      </w:pPr>
      <w:bookmarkStart w:id="103" w:name="_Toc146616514"/>
      <w:bookmarkStart w:id="104" w:name="_Toc15396627"/>
      <w:r>
        <w:rPr>
          <w:rStyle w:val="33"/>
          <w:rFonts w:hint="eastAsia" w:ascii="仿宋" w:hAnsi="仿宋" w:eastAsia="仿宋"/>
          <w:b w:val="0"/>
          <w:bCs w:val="0"/>
        </w:rPr>
        <w:t>九、</w:t>
      </w:r>
      <w:r>
        <w:rPr>
          <w:rFonts w:hint="eastAsia" w:ascii="仿宋" w:hAnsi="仿宋" w:eastAsia="仿宋"/>
          <w:b w:val="0"/>
        </w:rPr>
        <w:t>一</w:t>
      </w:r>
      <w:r>
        <w:rPr>
          <w:rStyle w:val="33"/>
          <w:rFonts w:hint="eastAsia" w:ascii="仿宋" w:hAnsi="仿宋" w:eastAsia="仿宋"/>
          <w:b w:val="0"/>
          <w:bCs w:val="0"/>
        </w:rPr>
        <w:t>般公共预算财政拨款项目支出决算表</w:t>
      </w:r>
      <w:bookmarkEnd w:id="103"/>
      <w:bookmarkEnd w:id="104"/>
    </w:p>
    <w:p>
      <w:pPr>
        <w:pStyle w:val="4"/>
        <w:spacing w:line="576" w:lineRule="exact"/>
        <w:rPr>
          <w:rFonts w:ascii="仿宋" w:hAnsi="仿宋" w:eastAsia="仿宋"/>
        </w:rPr>
      </w:pPr>
      <w:bookmarkStart w:id="105" w:name="_Toc15396628"/>
      <w:bookmarkStart w:id="106" w:name="_Toc146616515"/>
      <w:r>
        <w:rPr>
          <w:rStyle w:val="33"/>
          <w:rFonts w:hint="eastAsia" w:ascii="仿宋" w:hAnsi="仿宋" w:eastAsia="仿宋"/>
          <w:b w:val="0"/>
          <w:bCs w:val="0"/>
        </w:rPr>
        <w:t>十、</w:t>
      </w:r>
      <w:bookmarkEnd w:id="105"/>
      <w:r>
        <w:rPr>
          <w:rFonts w:hint="eastAsia" w:ascii="仿宋" w:hAnsi="仿宋" w:eastAsia="仿宋"/>
          <w:b w:val="0"/>
        </w:rPr>
        <w:t>政</w:t>
      </w:r>
      <w:r>
        <w:rPr>
          <w:rStyle w:val="33"/>
          <w:rFonts w:hint="eastAsia" w:ascii="仿宋" w:hAnsi="仿宋" w:eastAsia="仿宋"/>
          <w:b w:val="0"/>
          <w:bCs w:val="0"/>
        </w:rPr>
        <w:t>府性基金预算财政拨款收入支出决算表</w:t>
      </w:r>
      <w:bookmarkEnd w:id="106"/>
    </w:p>
    <w:p>
      <w:pPr>
        <w:pStyle w:val="4"/>
        <w:spacing w:line="576" w:lineRule="exact"/>
        <w:rPr>
          <w:rFonts w:ascii="仿宋" w:hAnsi="仿宋" w:eastAsia="仿宋"/>
        </w:rPr>
      </w:pPr>
      <w:bookmarkStart w:id="107" w:name="_Toc15396629"/>
      <w:bookmarkStart w:id="108" w:name="_Toc146616516"/>
      <w:r>
        <w:rPr>
          <w:rStyle w:val="33"/>
          <w:rFonts w:hint="eastAsia" w:ascii="仿宋" w:hAnsi="仿宋" w:eastAsia="仿宋"/>
          <w:b w:val="0"/>
          <w:bCs w:val="0"/>
        </w:rPr>
        <w:t>十一、</w:t>
      </w:r>
      <w:bookmarkEnd w:id="107"/>
      <w:r>
        <w:rPr>
          <w:rFonts w:hint="eastAsia" w:ascii="仿宋" w:hAnsi="仿宋" w:eastAsia="仿宋"/>
          <w:b w:val="0"/>
        </w:rPr>
        <w:t>国</w:t>
      </w:r>
      <w:r>
        <w:rPr>
          <w:rStyle w:val="33"/>
          <w:rFonts w:hint="eastAsia" w:ascii="仿宋" w:hAnsi="仿宋" w:eastAsia="仿宋"/>
          <w:b w:val="0"/>
          <w:bCs w:val="0"/>
        </w:rPr>
        <w:t>有资本经营预算财政拨款收入支出决算表</w:t>
      </w:r>
      <w:bookmarkEnd w:id="108"/>
    </w:p>
    <w:p>
      <w:pPr>
        <w:pStyle w:val="4"/>
        <w:spacing w:line="576" w:lineRule="exact"/>
        <w:rPr>
          <w:rFonts w:ascii="仿宋" w:hAnsi="仿宋" w:eastAsia="仿宋"/>
        </w:rPr>
      </w:pPr>
      <w:bookmarkStart w:id="109" w:name="_Toc15396630"/>
      <w:bookmarkStart w:id="110" w:name="_Toc146616517"/>
      <w:r>
        <w:rPr>
          <w:rStyle w:val="33"/>
          <w:rFonts w:hint="eastAsia" w:ascii="仿宋" w:hAnsi="仿宋" w:eastAsia="仿宋"/>
          <w:b w:val="0"/>
          <w:bCs w:val="0"/>
        </w:rPr>
        <w:t>十二、</w:t>
      </w:r>
      <w:bookmarkEnd w:id="109"/>
      <w:r>
        <w:rPr>
          <w:rStyle w:val="33"/>
          <w:rFonts w:hint="eastAsia" w:ascii="仿宋" w:hAnsi="仿宋" w:eastAsia="仿宋"/>
          <w:b w:val="0"/>
          <w:bCs w:val="0"/>
        </w:rPr>
        <w:t>国有资本经营预算财政拨款支出决算表</w:t>
      </w:r>
      <w:bookmarkEnd w:id="110"/>
    </w:p>
    <w:p>
      <w:pPr>
        <w:pStyle w:val="4"/>
        <w:spacing w:line="576" w:lineRule="exact"/>
        <w:rPr>
          <w:rFonts w:eastAsia="仿宋"/>
        </w:rPr>
      </w:pPr>
      <w:bookmarkStart w:id="111" w:name="_Toc15396631"/>
      <w:bookmarkStart w:id="112" w:name="_Toc146616518"/>
      <w:r>
        <w:rPr>
          <w:rStyle w:val="33"/>
          <w:rFonts w:hint="eastAsia" w:ascii="仿宋" w:hAnsi="仿宋" w:eastAsia="仿宋"/>
          <w:b w:val="0"/>
          <w:bCs w:val="0"/>
        </w:rPr>
        <w:t>十三、</w:t>
      </w:r>
      <w:bookmarkEnd w:id="111"/>
      <w:r>
        <w:rPr>
          <w:rStyle w:val="33"/>
          <w:rFonts w:hint="eastAsia" w:ascii="仿宋" w:hAnsi="仿宋" w:eastAsia="仿宋"/>
          <w:b w:val="0"/>
          <w:bCs w:val="0"/>
        </w:rPr>
        <w:t>财政拨款“三公”经费支出决算表</w:t>
      </w:r>
      <w:bookmarkEnd w:id="112"/>
    </w:p>
    <w:sectPr>
      <w:footerReference r:id="rId5" w:type="firs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仿宋">
    <w:altName w:val="宋体"/>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
    <w:altName w:val="Times New Roman"/>
    <w:panose1 w:val="00000000000000000000"/>
    <w:charset w:val="00"/>
    <w:family w:val="roman"/>
    <w:pitch w:val="default"/>
    <w:sig w:usb0="00000000" w:usb1="00000000" w:usb2="00000000" w:usb3="00000000" w:csb0="00000000"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Segoe UI Emoji">
    <w:altName w:val="Mangal"/>
    <w:panose1 w:val="00000000000000000000"/>
    <w:charset w:val="00"/>
    <w:family w:val="swiss"/>
    <w:pitch w:val="default"/>
    <w:sig w:usb0="00000000" w:usb1="00000000" w:usb2="00000000" w:usb3="00000000" w:csb0="00000001" w:csb1="00000000"/>
  </w:font>
  <w:font w:name="楷体">
    <w:altName w:val="方正楷体_GBK"/>
    <w:panose1 w:val="02010609060101010101"/>
    <w:charset w:val="86"/>
    <w:family w:val="modern"/>
    <w:pitch w:val="default"/>
    <w:sig w:usb0="00000000" w:usb1="00000000" w:usb2="00000016" w:usb3="00000000" w:csb0="00040001" w:csb1="00000000"/>
  </w:font>
  <w:font w:name="方正小标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2312">
    <w:altName w:val="方正仿宋_GBK"/>
    <w:panose1 w:val="00000000000000000000"/>
    <w:charset w:val="86"/>
    <w:family w:val="auto"/>
    <w:pitch w:val="default"/>
    <w:sig w:usb0="00000000" w:usb1="00000000" w:usb2="00000012"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新宋体">
    <w:panose1 w:val="02010609030101010101"/>
    <w:charset w:val="86"/>
    <w:family w:val="modern"/>
    <w:pitch w:val="default"/>
    <w:sig w:usb0="00000003" w:usb1="288F0000" w:usb2="00000006" w:usb3="00000000" w:csb0="00040001" w:csb1="00000000"/>
  </w:font>
  <w:font w:name="方正仿宋_GBK">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Mangal">
    <w:panose1 w:val="00000400000000000000"/>
    <w:charset w:val="00"/>
    <w:family w:val="auto"/>
    <w:pitch w:val="default"/>
    <w:sig w:usb0="00008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5399105"/>
      <w:docPartObj>
        <w:docPartGallery w:val="autotext"/>
      </w:docPartObj>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0267069"/>
      <w:docPartObj>
        <w:docPartGallery w:val="autotext"/>
      </w:docPartObj>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2AF020"/>
    <w:multiLevelType w:val="singleLevel"/>
    <w:tmpl w:val="972AF020"/>
    <w:lvl w:ilvl="0" w:tentative="0">
      <w:start w:val="3"/>
      <w:numFmt w:val="chineseCounting"/>
      <w:suff w:val="nothing"/>
      <w:lvlText w:val="（%1）"/>
      <w:lvlJc w:val="left"/>
      <w:rPr>
        <w:rFonts w:hint="eastAsia"/>
      </w:rPr>
    </w:lvl>
  </w:abstractNum>
  <w:abstractNum w:abstractNumId="1">
    <w:nsid w:val="A83899AD"/>
    <w:multiLevelType w:val="singleLevel"/>
    <w:tmpl w:val="A83899AD"/>
    <w:lvl w:ilvl="0" w:tentative="0">
      <w:start w:val="1"/>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E7FC1C99"/>
    <w:multiLevelType w:val="singleLevel"/>
    <w:tmpl w:val="E7FC1C99"/>
    <w:lvl w:ilvl="0" w:tentative="0">
      <w:start w:val="1"/>
      <w:numFmt w:val="decimal"/>
      <w:suff w:val="nothing"/>
      <w:lvlText w:val="%1．"/>
      <w:lvlJc w:val="left"/>
      <w:pPr>
        <w:ind w:left="0" w:firstLine="400"/>
      </w:pPr>
      <w:rPr>
        <w:rFonts w:hint="default"/>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373A5939"/>
    <w:multiLevelType w:val="singleLevel"/>
    <w:tmpl w:val="373A5939"/>
    <w:lvl w:ilvl="0" w:tentative="0">
      <w:start w:val="1"/>
      <w:numFmt w:val="chineseCounting"/>
      <w:suff w:val="nothing"/>
      <w:lvlText w:val="%1、"/>
      <w:lvlJc w:val="left"/>
      <w:rPr>
        <w:rFonts w:hint="eastAsia"/>
      </w:rPr>
    </w:lvl>
  </w:abstractNum>
  <w:abstractNum w:abstractNumId="7">
    <w:nsid w:val="55001735"/>
    <w:multiLevelType w:val="singleLevel"/>
    <w:tmpl w:val="55001735"/>
    <w:lvl w:ilvl="0" w:tentative="0">
      <w:start w:val="1"/>
      <w:numFmt w:val="chineseCounting"/>
      <w:suff w:val="nothing"/>
      <w:lvlText w:val="%1、"/>
      <w:lvlJc w:val="left"/>
      <w:rPr>
        <w:rFonts w:hint="eastAsia"/>
      </w:rPr>
    </w:lvl>
  </w:abstractNum>
  <w:abstractNum w:abstractNumId="8">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abstractNum w:abstractNumId="9">
    <w:nsid w:val="6914651E"/>
    <w:multiLevelType w:val="singleLevel"/>
    <w:tmpl w:val="6914651E"/>
    <w:lvl w:ilvl="0" w:tentative="0">
      <w:start w:val="1"/>
      <w:numFmt w:val="chineseCounting"/>
      <w:suff w:val="nothing"/>
      <w:lvlText w:val="%1、"/>
      <w:lvlJc w:val="left"/>
      <w:rPr>
        <w:rFonts w:hint="eastAsia"/>
      </w:rPr>
    </w:lvl>
  </w:abstractNum>
  <w:num w:numId="1">
    <w:abstractNumId w:val="8"/>
  </w:num>
  <w:num w:numId="2">
    <w:abstractNumId w:val="5"/>
  </w:num>
  <w:num w:numId="3">
    <w:abstractNumId w:val="2"/>
  </w:num>
  <w:num w:numId="4">
    <w:abstractNumId w:val="3"/>
  </w:num>
  <w:num w:numId="5">
    <w:abstractNumId w:val="4"/>
  </w:num>
  <w:num w:numId="6">
    <w:abstractNumId w:val="0"/>
  </w:num>
  <w:num w:numId="7">
    <w:abstractNumId w:val="1"/>
  </w:num>
  <w:num w:numId="8">
    <w:abstractNumId w:val="6"/>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4YjNlMmI2ZjlkZDI3YmRkNWFlOWViODI5MzhhY2MifQ=="/>
  </w:docVars>
  <w:rsids>
    <w:rsidRoot w:val="00F1361C"/>
    <w:rsid w:val="00015DA9"/>
    <w:rsid w:val="00020EA2"/>
    <w:rsid w:val="000222C6"/>
    <w:rsid w:val="000223F9"/>
    <w:rsid w:val="00022C90"/>
    <w:rsid w:val="00023335"/>
    <w:rsid w:val="000233F8"/>
    <w:rsid w:val="0002549F"/>
    <w:rsid w:val="00033309"/>
    <w:rsid w:val="00034C04"/>
    <w:rsid w:val="000468DB"/>
    <w:rsid w:val="00051B24"/>
    <w:rsid w:val="00063633"/>
    <w:rsid w:val="0006487A"/>
    <w:rsid w:val="00065F8F"/>
    <w:rsid w:val="0006673F"/>
    <w:rsid w:val="00070A43"/>
    <w:rsid w:val="000768F2"/>
    <w:rsid w:val="000823B3"/>
    <w:rsid w:val="00084B5F"/>
    <w:rsid w:val="0009184B"/>
    <w:rsid w:val="0009315E"/>
    <w:rsid w:val="00094236"/>
    <w:rsid w:val="0009593C"/>
    <w:rsid w:val="00096552"/>
    <w:rsid w:val="00097322"/>
    <w:rsid w:val="000976C5"/>
    <w:rsid w:val="0009784F"/>
    <w:rsid w:val="000A12BF"/>
    <w:rsid w:val="000A2163"/>
    <w:rsid w:val="000A3B7B"/>
    <w:rsid w:val="000A6A92"/>
    <w:rsid w:val="000B00CA"/>
    <w:rsid w:val="000B047F"/>
    <w:rsid w:val="000B5923"/>
    <w:rsid w:val="000B5A48"/>
    <w:rsid w:val="000B6FF3"/>
    <w:rsid w:val="000C26D9"/>
    <w:rsid w:val="000C3467"/>
    <w:rsid w:val="000C3CA6"/>
    <w:rsid w:val="000C52CC"/>
    <w:rsid w:val="000C6273"/>
    <w:rsid w:val="000C70CD"/>
    <w:rsid w:val="000D1267"/>
    <w:rsid w:val="000D1D50"/>
    <w:rsid w:val="000D5782"/>
    <w:rsid w:val="000D7568"/>
    <w:rsid w:val="000E6194"/>
    <w:rsid w:val="000E6613"/>
    <w:rsid w:val="000E7119"/>
    <w:rsid w:val="000F7C31"/>
    <w:rsid w:val="000F7E57"/>
    <w:rsid w:val="001027E7"/>
    <w:rsid w:val="001061FE"/>
    <w:rsid w:val="00110A9C"/>
    <w:rsid w:val="00113726"/>
    <w:rsid w:val="00114E9B"/>
    <w:rsid w:val="0013052A"/>
    <w:rsid w:val="00131C66"/>
    <w:rsid w:val="00133006"/>
    <w:rsid w:val="00134641"/>
    <w:rsid w:val="00142216"/>
    <w:rsid w:val="00144D6A"/>
    <w:rsid w:val="0014729F"/>
    <w:rsid w:val="001504B2"/>
    <w:rsid w:val="00152B93"/>
    <w:rsid w:val="001546B5"/>
    <w:rsid w:val="00157BAB"/>
    <w:rsid w:val="001654D1"/>
    <w:rsid w:val="00174518"/>
    <w:rsid w:val="0018106D"/>
    <w:rsid w:val="0018742D"/>
    <w:rsid w:val="001877A7"/>
    <w:rsid w:val="00191536"/>
    <w:rsid w:val="001922E8"/>
    <w:rsid w:val="00196687"/>
    <w:rsid w:val="001967AA"/>
    <w:rsid w:val="001A02B2"/>
    <w:rsid w:val="001B54D6"/>
    <w:rsid w:val="001C0962"/>
    <w:rsid w:val="001C1631"/>
    <w:rsid w:val="001C2293"/>
    <w:rsid w:val="001C5E5C"/>
    <w:rsid w:val="001D5D20"/>
    <w:rsid w:val="001D7531"/>
    <w:rsid w:val="001E737D"/>
    <w:rsid w:val="001F0592"/>
    <w:rsid w:val="001F7506"/>
    <w:rsid w:val="001F7860"/>
    <w:rsid w:val="002006CD"/>
    <w:rsid w:val="00202B36"/>
    <w:rsid w:val="00204B7A"/>
    <w:rsid w:val="00204CDE"/>
    <w:rsid w:val="00207920"/>
    <w:rsid w:val="0021101A"/>
    <w:rsid w:val="00212F4E"/>
    <w:rsid w:val="00220536"/>
    <w:rsid w:val="00235629"/>
    <w:rsid w:val="00235CB4"/>
    <w:rsid w:val="00237B5E"/>
    <w:rsid w:val="00241184"/>
    <w:rsid w:val="002428F3"/>
    <w:rsid w:val="00243CC0"/>
    <w:rsid w:val="002549B1"/>
    <w:rsid w:val="00256397"/>
    <w:rsid w:val="00260C38"/>
    <w:rsid w:val="002616C0"/>
    <w:rsid w:val="00261BBF"/>
    <w:rsid w:val="00265372"/>
    <w:rsid w:val="002662AA"/>
    <w:rsid w:val="0027215D"/>
    <w:rsid w:val="00280496"/>
    <w:rsid w:val="00280859"/>
    <w:rsid w:val="0028696E"/>
    <w:rsid w:val="00291833"/>
    <w:rsid w:val="002928D3"/>
    <w:rsid w:val="00294DC9"/>
    <w:rsid w:val="00295495"/>
    <w:rsid w:val="002974A6"/>
    <w:rsid w:val="002A31DE"/>
    <w:rsid w:val="002B2613"/>
    <w:rsid w:val="002B2ECF"/>
    <w:rsid w:val="002C1458"/>
    <w:rsid w:val="002C338E"/>
    <w:rsid w:val="002C60A4"/>
    <w:rsid w:val="002D6D05"/>
    <w:rsid w:val="002D6F89"/>
    <w:rsid w:val="002E28C4"/>
    <w:rsid w:val="002F1818"/>
    <w:rsid w:val="002F36DA"/>
    <w:rsid w:val="002F567B"/>
    <w:rsid w:val="00303A21"/>
    <w:rsid w:val="003209A7"/>
    <w:rsid w:val="003216A9"/>
    <w:rsid w:val="003243CA"/>
    <w:rsid w:val="003264DB"/>
    <w:rsid w:val="00330995"/>
    <w:rsid w:val="00335A74"/>
    <w:rsid w:val="0033765B"/>
    <w:rsid w:val="00340C45"/>
    <w:rsid w:val="00343624"/>
    <w:rsid w:val="00343C9F"/>
    <w:rsid w:val="00356E95"/>
    <w:rsid w:val="003576C5"/>
    <w:rsid w:val="00361CE1"/>
    <w:rsid w:val="0036561B"/>
    <w:rsid w:val="0037013F"/>
    <w:rsid w:val="0037122A"/>
    <w:rsid w:val="00380C92"/>
    <w:rsid w:val="0038298C"/>
    <w:rsid w:val="00383C1C"/>
    <w:rsid w:val="003924EB"/>
    <w:rsid w:val="003A484F"/>
    <w:rsid w:val="003A4883"/>
    <w:rsid w:val="003A4EBC"/>
    <w:rsid w:val="003A6AF1"/>
    <w:rsid w:val="003B0026"/>
    <w:rsid w:val="003B0BE0"/>
    <w:rsid w:val="003B0C1B"/>
    <w:rsid w:val="003B688C"/>
    <w:rsid w:val="003C0291"/>
    <w:rsid w:val="003C2C04"/>
    <w:rsid w:val="003C39AE"/>
    <w:rsid w:val="003C5DA7"/>
    <w:rsid w:val="003C7B60"/>
    <w:rsid w:val="003D0C0F"/>
    <w:rsid w:val="003D1FB2"/>
    <w:rsid w:val="003D66DA"/>
    <w:rsid w:val="003E1310"/>
    <w:rsid w:val="003E6F55"/>
    <w:rsid w:val="003F27DB"/>
    <w:rsid w:val="00401861"/>
    <w:rsid w:val="00405065"/>
    <w:rsid w:val="00406254"/>
    <w:rsid w:val="0041450C"/>
    <w:rsid w:val="00415483"/>
    <w:rsid w:val="00416ACC"/>
    <w:rsid w:val="004223DE"/>
    <w:rsid w:val="0042685E"/>
    <w:rsid w:val="00426B7F"/>
    <w:rsid w:val="00427C65"/>
    <w:rsid w:val="00434489"/>
    <w:rsid w:val="00437085"/>
    <w:rsid w:val="004370A4"/>
    <w:rsid w:val="00443880"/>
    <w:rsid w:val="00444360"/>
    <w:rsid w:val="004464F4"/>
    <w:rsid w:val="00446AA7"/>
    <w:rsid w:val="00457DE1"/>
    <w:rsid w:val="0046101C"/>
    <w:rsid w:val="00467AE0"/>
    <w:rsid w:val="00471401"/>
    <w:rsid w:val="00473F31"/>
    <w:rsid w:val="0048263A"/>
    <w:rsid w:val="00483E34"/>
    <w:rsid w:val="00487E5D"/>
    <w:rsid w:val="004A711F"/>
    <w:rsid w:val="004B199D"/>
    <w:rsid w:val="004B4690"/>
    <w:rsid w:val="004B56EE"/>
    <w:rsid w:val="004C0188"/>
    <w:rsid w:val="004C0DCC"/>
    <w:rsid w:val="004D457C"/>
    <w:rsid w:val="004D7B92"/>
    <w:rsid w:val="004E0A2D"/>
    <w:rsid w:val="004E1030"/>
    <w:rsid w:val="004E1523"/>
    <w:rsid w:val="004E206B"/>
    <w:rsid w:val="004E6DF7"/>
    <w:rsid w:val="004F0FBD"/>
    <w:rsid w:val="004F11D5"/>
    <w:rsid w:val="004F1AE2"/>
    <w:rsid w:val="004F3177"/>
    <w:rsid w:val="004F48AB"/>
    <w:rsid w:val="004F52C1"/>
    <w:rsid w:val="004F7296"/>
    <w:rsid w:val="00505A47"/>
    <w:rsid w:val="00512FDA"/>
    <w:rsid w:val="00513FA5"/>
    <w:rsid w:val="00520437"/>
    <w:rsid w:val="00520DA0"/>
    <w:rsid w:val="00527032"/>
    <w:rsid w:val="00527EE2"/>
    <w:rsid w:val="00530116"/>
    <w:rsid w:val="00541729"/>
    <w:rsid w:val="00543532"/>
    <w:rsid w:val="00543704"/>
    <w:rsid w:val="0054525C"/>
    <w:rsid w:val="005454EA"/>
    <w:rsid w:val="005459A5"/>
    <w:rsid w:val="005533D0"/>
    <w:rsid w:val="00554E45"/>
    <w:rsid w:val="00565A68"/>
    <w:rsid w:val="005664BB"/>
    <w:rsid w:val="00566FFA"/>
    <w:rsid w:val="0057481D"/>
    <w:rsid w:val="0058486E"/>
    <w:rsid w:val="00585B33"/>
    <w:rsid w:val="0059014D"/>
    <w:rsid w:val="0059391E"/>
    <w:rsid w:val="00594998"/>
    <w:rsid w:val="005A4678"/>
    <w:rsid w:val="005B177A"/>
    <w:rsid w:val="005B246A"/>
    <w:rsid w:val="005B4A7D"/>
    <w:rsid w:val="005B5C64"/>
    <w:rsid w:val="005B610B"/>
    <w:rsid w:val="005C22B9"/>
    <w:rsid w:val="005C5337"/>
    <w:rsid w:val="005C6BD0"/>
    <w:rsid w:val="005D0CC4"/>
    <w:rsid w:val="005D1C8B"/>
    <w:rsid w:val="005D468D"/>
    <w:rsid w:val="005D5CED"/>
    <w:rsid w:val="005E1C6D"/>
    <w:rsid w:val="005F1A4C"/>
    <w:rsid w:val="005F5F6B"/>
    <w:rsid w:val="00605688"/>
    <w:rsid w:val="006070AF"/>
    <w:rsid w:val="00607E6C"/>
    <w:rsid w:val="006101B1"/>
    <w:rsid w:val="006144D2"/>
    <w:rsid w:val="00614E44"/>
    <w:rsid w:val="0062270A"/>
    <w:rsid w:val="00622830"/>
    <w:rsid w:val="00623DA0"/>
    <w:rsid w:val="00630AEF"/>
    <w:rsid w:val="006325F8"/>
    <w:rsid w:val="00633463"/>
    <w:rsid w:val="00634C9A"/>
    <w:rsid w:val="006440E4"/>
    <w:rsid w:val="00650ED4"/>
    <w:rsid w:val="00651DF0"/>
    <w:rsid w:val="0065204F"/>
    <w:rsid w:val="0066343B"/>
    <w:rsid w:val="00664777"/>
    <w:rsid w:val="006748A4"/>
    <w:rsid w:val="00676E40"/>
    <w:rsid w:val="00681A31"/>
    <w:rsid w:val="00683E73"/>
    <w:rsid w:val="006872B5"/>
    <w:rsid w:val="00693937"/>
    <w:rsid w:val="006A3141"/>
    <w:rsid w:val="006A33C6"/>
    <w:rsid w:val="006A5E34"/>
    <w:rsid w:val="006B2422"/>
    <w:rsid w:val="006B2B9A"/>
    <w:rsid w:val="006B30B2"/>
    <w:rsid w:val="006B7C3B"/>
    <w:rsid w:val="006C1937"/>
    <w:rsid w:val="006C20BB"/>
    <w:rsid w:val="006D0D93"/>
    <w:rsid w:val="006D1D7E"/>
    <w:rsid w:val="006E2E2E"/>
    <w:rsid w:val="006E2FDA"/>
    <w:rsid w:val="006E6463"/>
    <w:rsid w:val="006F020C"/>
    <w:rsid w:val="00710169"/>
    <w:rsid w:val="00711FD9"/>
    <w:rsid w:val="007127B7"/>
    <w:rsid w:val="007135D4"/>
    <w:rsid w:val="007147F0"/>
    <w:rsid w:val="00715E54"/>
    <w:rsid w:val="0071798E"/>
    <w:rsid w:val="007273CA"/>
    <w:rsid w:val="007416B6"/>
    <w:rsid w:val="00741BFC"/>
    <w:rsid w:val="00741E63"/>
    <w:rsid w:val="0074673A"/>
    <w:rsid w:val="00746F48"/>
    <w:rsid w:val="0075404D"/>
    <w:rsid w:val="007572E6"/>
    <w:rsid w:val="0076182A"/>
    <w:rsid w:val="00762E61"/>
    <w:rsid w:val="00763C2F"/>
    <w:rsid w:val="00767B7E"/>
    <w:rsid w:val="00773790"/>
    <w:rsid w:val="00774221"/>
    <w:rsid w:val="007770C3"/>
    <w:rsid w:val="007807E8"/>
    <w:rsid w:val="007827B1"/>
    <w:rsid w:val="007835CA"/>
    <w:rsid w:val="00784575"/>
    <w:rsid w:val="00784D24"/>
    <w:rsid w:val="00785FBA"/>
    <w:rsid w:val="007867EA"/>
    <w:rsid w:val="00786E4A"/>
    <w:rsid w:val="007875EB"/>
    <w:rsid w:val="0079426B"/>
    <w:rsid w:val="007A1156"/>
    <w:rsid w:val="007A62C5"/>
    <w:rsid w:val="007A6473"/>
    <w:rsid w:val="007B097D"/>
    <w:rsid w:val="007B189B"/>
    <w:rsid w:val="007B21B8"/>
    <w:rsid w:val="007B7E6E"/>
    <w:rsid w:val="007C458A"/>
    <w:rsid w:val="007D1682"/>
    <w:rsid w:val="007D312A"/>
    <w:rsid w:val="007D3F19"/>
    <w:rsid w:val="007E23B0"/>
    <w:rsid w:val="007E23E5"/>
    <w:rsid w:val="007E3986"/>
    <w:rsid w:val="007E4FA7"/>
    <w:rsid w:val="007E7EFA"/>
    <w:rsid w:val="007F1991"/>
    <w:rsid w:val="007F2C2F"/>
    <w:rsid w:val="007F55FC"/>
    <w:rsid w:val="007F5665"/>
    <w:rsid w:val="00800112"/>
    <w:rsid w:val="00813348"/>
    <w:rsid w:val="008150BC"/>
    <w:rsid w:val="00815D72"/>
    <w:rsid w:val="008253BB"/>
    <w:rsid w:val="00826AE5"/>
    <w:rsid w:val="0083519C"/>
    <w:rsid w:val="0083706E"/>
    <w:rsid w:val="0083797B"/>
    <w:rsid w:val="008408F6"/>
    <w:rsid w:val="008423A5"/>
    <w:rsid w:val="00850625"/>
    <w:rsid w:val="00853718"/>
    <w:rsid w:val="00855221"/>
    <w:rsid w:val="00860645"/>
    <w:rsid w:val="008616A5"/>
    <w:rsid w:val="00867285"/>
    <w:rsid w:val="00870057"/>
    <w:rsid w:val="00870FFC"/>
    <w:rsid w:val="00871F71"/>
    <w:rsid w:val="00872FD8"/>
    <w:rsid w:val="00874B61"/>
    <w:rsid w:val="00882CC2"/>
    <w:rsid w:val="00885AF4"/>
    <w:rsid w:val="00887CCF"/>
    <w:rsid w:val="0089133D"/>
    <w:rsid w:val="008939CD"/>
    <w:rsid w:val="00896FC2"/>
    <w:rsid w:val="008A240E"/>
    <w:rsid w:val="008B0B00"/>
    <w:rsid w:val="008B593F"/>
    <w:rsid w:val="008B768C"/>
    <w:rsid w:val="008B769C"/>
    <w:rsid w:val="008C2653"/>
    <w:rsid w:val="008C4DB1"/>
    <w:rsid w:val="008C4EAF"/>
    <w:rsid w:val="008C5176"/>
    <w:rsid w:val="008C517F"/>
    <w:rsid w:val="008C7FD0"/>
    <w:rsid w:val="008D0CEF"/>
    <w:rsid w:val="008D3761"/>
    <w:rsid w:val="008D3A37"/>
    <w:rsid w:val="008D46AA"/>
    <w:rsid w:val="008E01E4"/>
    <w:rsid w:val="008E1DE7"/>
    <w:rsid w:val="008E2B48"/>
    <w:rsid w:val="008E55B6"/>
    <w:rsid w:val="008E707C"/>
    <w:rsid w:val="008E7461"/>
    <w:rsid w:val="008F474B"/>
    <w:rsid w:val="00900B08"/>
    <w:rsid w:val="00902155"/>
    <w:rsid w:val="00902FA3"/>
    <w:rsid w:val="00910088"/>
    <w:rsid w:val="00923564"/>
    <w:rsid w:val="0092392E"/>
    <w:rsid w:val="00923A9B"/>
    <w:rsid w:val="009315F9"/>
    <w:rsid w:val="00933499"/>
    <w:rsid w:val="00935C98"/>
    <w:rsid w:val="0094036F"/>
    <w:rsid w:val="00942084"/>
    <w:rsid w:val="009462E6"/>
    <w:rsid w:val="00946945"/>
    <w:rsid w:val="00947872"/>
    <w:rsid w:val="00951248"/>
    <w:rsid w:val="0095152F"/>
    <w:rsid w:val="00954C49"/>
    <w:rsid w:val="00955E37"/>
    <w:rsid w:val="00956CA8"/>
    <w:rsid w:val="0097099F"/>
    <w:rsid w:val="00970D2F"/>
    <w:rsid w:val="00971997"/>
    <w:rsid w:val="00971FFC"/>
    <w:rsid w:val="00972638"/>
    <w:rsid w:val="00976B67"/>
    <w:rsid w:val="00983B94"/>
    <w:rsid w:val="0098660A"/>
    <w:rsid w:val="009931C3"/>
    <w:rsid w:val="009A296E"/>
    <w:rsid w:val="009B2C43"/>
    <w:rsid w:val="009B4EAE"/>
    <w:rsid w:val="009B56BA"/>
    <w:rsid w:val="009B7573"/>
    <w:rsid w:val="009C22F4"/>
    <w:rsid w:val="009C2A4B"/>
    <w:rsid w:val="009C2E98"/>
    <w:rsid w:val="009C3C90"/>
    <w:rsid w:val="009C7D8C"/>
    <w:rsid w:val="009D005C"/>
    <w:rsid w:val="009D0F90"/>
    <w:rsid w:val="009D3447"/>
    <w:rsid w:val="009D4711"/>
    <w:rsid w:val="009D728A"/>
    <w:rsid w:val="009E2CBD"/>
    <w:rsid w:val="009E3147"/>
    <w:rsid w:val="009F0F41"/>
    <w:rsid w:val="009F1185"/>
    <w:rsid w:val="009F18CD"/>
    <w:rsid w:val="009F2A13"/>
    <w:rsid w:val="009F7527"/>
    <w:rsid w:val="00A04EB0"/>
    <w:rsid w:val="00A13CC1"/>
    <w:rsid w:val="00A16847"/>
    <w:rsid w:val="00A1735A"/>
    <w:rsid w:val="00A237D8"/>
    <w:rsid w:val="00A268C4"/>
    <w:rsid w:val="00A307CD"/>
    <w:rsid w:val="00A31B92"/>
    <w:rsid w:val="00A331C8"/>
    <w:rsid w:val="00A40A00"/>
    <w:rsid w:val="00A4142F"/>
    <w:rsid w:val="00A422EB"/>
    <w:rsid w:val="00A4426C"/>
    <w:rsid w:val="00A45BB7"/>
    <w:rsid w:val="00A56DF2"/>
    <w:rsid w:val="00A56E6E"/>
    <w:rsid w:val="00A67AB5"/>
    <w:rsid w:val="00A733B2"/>
    <w:rsid w:val="00A741C2"/>
    <w:rsid w:val="00A741D9"/>
    <w:rsid w:val="00A84BAC"/>
    <w:rsid w:val="00A91760"/>
    <w:rsid w:val="00A91926"/>
    <w:rsid w:val="00A93B00"/>
    <w:rsid w:val="00A93C21"/>
    <w:rsid w:val="00AA2F49"/>
    <w:rsid w:val="00AB3053"/>
    <w:rsid w:val="00AB56E9"/>
    <w:rsid w:val="00AB6144"/>
    <w:rsid w:val="00AB64C9"/>
    <w:rsid w:val="00AC08F4"/>
    <w:rsid w:val="00AC096B"/>
    <w:rsid w:val="00AC1C35"/>
    <w:rsid w:val="00AC3C6A"/>
    <w:rsid w:val="00AC4EE4"/>
    <w:rsid w:val="00AD0533"/>
    <w:rsid w:val="00AD1B2C"/>
    <w:rsid w:val="00AD1DA4"/>
    <w:rsid w:val="00AD5620"/>
    <w:rsid w:val="00AD656B"/>
    <w:rsid w:val="00AD720A"/>
    <w:rsid w:val="00AD7C1B"/>
    <w:rsid w:val="00AE16BA"/>
    <w:rsid w:val="00AE1EBE"/>
    <w:rsid w:val="00AE31D1"/>
    <w:rsid w:val="00AF15A5"/>
    <w:rsid w:val="00B03C9D"/>
    <w:rsid w:val="00B060AE"/>
    <w:rsid w:val="00B10517"/>
    <w:rsid w:val="00B135B8"/>
    <w:rsid w:val="00B13F7D"/>
    <w:rsid w:val="00B14E76"/>
    <w:rsid w:val="00B161B8"/>
    <w:rsid w:val="00B16465"/>
    <w:rsid w:val="00B17B12"/>
    <w:rsid w:val="00B17E96"/>
    <w:rsid w:val="00B2048C"/>
    <w:rsid w:val="00B310B9"/>
    <w:rsid w:val="00B31AE1"/>
    <w:rsid w:val="00B35F3F"/>
    <w:rsid w:val="00B36CBB"/>
    <w:rsid w:val="00B376AB"/>
    <w:rsid w:val="00B425E0"/>
    <w:rsid w:val="00B440AA"/>
    <w:rsid w:val="00B44B70"/>
    <w:rsid w:val="00B44FAF"/>
    <w:rsid w:val="00B53C56"/>
    <w:rsid w:val="00B57B8F"/>
    <w:rsid w:val="00B57DAF"/>
    <w:rsid w:val="00B7495E"/>
    <w:rsid w:val="00B769ED"/>
    <w:rsid w:val="00B77EA6"/>
    <w:rsid w:val="00B81598"/>
    <w:rsid w:val="00B823F7"/>
    <w:rsid w:val="00B841F1"/>
    <w:rsid w:val="00B86358"/>
    <w:rsid w:val="00B92709"/>
    <w:rsid w:val="00B944D6"/>
    <w:rsid w:val="00B95A47"/>
    <w:rsid w:val="00B9728E"/>
    <w:rsid w:val="00BB14BC"/>
    <w:rsid w:val="00BB4DF0"/>
    <w:rsid w:val="00BC1B95"/>
    <w:rsid w:val="00BC289F"/>
    <w:rsid w:val="00BC2D50"/>
    <w:rsid w:val="00BC5361"/>
    <w:rsid w:val="00BC5460"/>
    <w:rsid w:val="00BC5885"/>
    <w:rsid w:val="00BC6B50"/>
    <w:rsid w:val="00BD0E25"/>
    <w:rsid w:val="00BD3261"/>
    <w:rsid w:val="00BD6881"/>
    <w:rsid w:val="00BE456E"/>
    <w:rsid w:val="00BF404D"/>
    <w:rsid w:val="00BF5BD6"/>
    <w:rsid w:val="00C03E31"/>
    <w:rsid w:val="00C07BF1"/>
    <w:rsid w:val="00C10529"/>
    <w:rsid w:val="00C12597"/>
    <w:rsid w:val="00C2786E"/>
    <w:rsid w:val="00C33E72"/>
    <w:rsid w:val="00C354B2"/>
    <w:rsid w:val="00C354DB"/>
    <w:rsid w:val="00C35554"/>
    <w:rsid w:val="00C376AF"/>
    <w:rsid w:val="00C40C48"/>
    <w:rsid w:val="00C42709"/>
    <w:rsid w:val="00C53089"/>
    <w:rsid w:val="00C533CC"/>
    <w:rsid w:val="00C560D8"/>
    <w:rsid w:val="00C5751C"/>
    <w:rsid w:val="00C61BFC"/>
    <w:rsid w:val="00C62B85"/>
    <w:rsid w:val="00C65438"/>
    <w:rsid w:val="00C703D5"/>
    <w:rsid w:val="00C71437"/>
    <w:rsid w:val="00C71EF7"/>
    <w:rsid w:val="00C73592"/>
    <w:rsid w:val="00C73B22"/>
    <w:rsid w:val="00C74840"/>
    <w:rsid w:val="00C7610B"/>
    <w:rsid w:val="00C76C68"/>
    <w:rsid w:val="00C7703C"/>
    <w:rsid w:val="00C860A4"/>
    <w:rsid w:val="00C87FD8"/>
    <w:rsid w:val="00C91381"/>
    <w:rsid w:val="00C91CBB"/>
    <w:rsid w:val="00C94079"/>
    <w:rsid w:val="00C97051"/>
    <w:rsid w:val="00C97E0E"/>
    <w:rsid w:val="00CA251C"/>
    <w:rsid w:val="00CA6C8A"/>
    <w:rsid w:val="00CB0E84"/>
    <w:rsid w:val="00CB4E70"/>
    <w:rsid w:val="00CB7112"/>
    <w:rsid w:val="00CB75A0"/>
    <w:rsid w:val="00CC09B6"/>
    <w:rsid w:val="00CC5188"/>
    <w:rsid w:val="00CC666F"/>
    <w:rsid w:val="00CD1E3F"/>
    <w:rsid w:val="00CD362D"/>
    <w:rsid w:val="00CD5BDB"/>
    <w:rsid w:val="00CD6B48"/>
    <w:rsid w:val="00CE44F6"/>
    <w:rsid w:val="00CE49DA"/>
    <w:rsid w:val="00CE7B61"/>
    <w:rsid w:val="00CF2961"/>
    <w:rsid w:val="00CF6340"/>
    <w:rsid w:val="00D00095"/>
    <w:rsid w:val="00D079FA"/>
    <w:rsid w:val="00D114F0"/>
    <w:rsid w:val="00D1493A"/>
    <w:rsid w:val="00D154D1"/>
    <w:rsid w:val="00D17569"/>
    <w:rsid w:val="00D20620"/>
    <w:rsid w:val="00D254F7"/>
    <w:rsid w:val="00D26091"/>
    <w:rsid w:val="00D2685C"/>
    <w:rsid w:val="00D30CCE"/>
    <w:rsid w:val="00D34E7C"/>
    <w:rsid w:val="00D35489"/>
    <w:rsid w:val="00D36AFE"/>
    <w:rsid w:val="00D377F0"/>
    <w:rsid w:val="00D4451C"/>
    <w:rsid w:val="00D44708"/>
    <w:rsid w:val="00D51276"/>
    <w:rsid w:val="00D62CC1"/>
    <w:rsid w:val="00D7035F"/>
    <w:rsid w:val="00D81B46"/>
    <w:rsid w:val="00D83144"/>
    <w:rsid w:val="00D92F39"/>
    <w:rsid w:val="00DA634F"/>
    <w:rsid w:val="00DA65AC"/>
    <w:rsid w:val="00DB0E1B"/>
    <w:rsid w:val="00DB1913"/>
    <w:rsid w:val="00DB27C7"/>
    <w:rsid w:val="00DB4DCE"/>
    <w:rsid w:val="00DB559A"/>
    <w:rsid w:val="00DB7DC3"/>
    <w:rsid w:val="00DC007F"/>
    <w:rsid w:val="00DC2012"/>
    <w:rsid w:val="00DC410D"/>
    <w:rsid w:val="00DC5A81"/>
    <w:rsid w:val="00DC68CA"/>
    <w:rsid w:val="00DC7CBA"/>
    <w:rsid w:val="00DD13B3"/>
    <w:rsid w:val="00DD19E5"/>
    <w:rsid w:val="00DD5D8C"/>
    <w:rsid w:val="00DD73B7"/>
    <w:rsid w:val="00DE2A58"/>
    <w:rsid w:val="00DF28BC"/>
    <w:rsid w:val="00DF34B9"/>
    <w:rsid w:val="00DF40B3"/>
    <w:rsid w:val="00DF621E"/>
    <w:rsid w:val="00E01053"/>
    <w:rsid w:val="00E03803"/>
    <w:rsid w:val="00E05604"/>
    <w:rsid w:val="00E06A8D"/>
    <w:rsid w:val="00E07ACF"/>
    <w:rsid w:val="00E17FE7"/>
    <w:rsid w:val="00E247A2"/>
    <w:rsid w:val="00E25FFE"/>
    <w:rsid w:val="00E33077"/>
    <w:rsid w:val="00E331A1"/>
    <w:rsid w:val="00E33202"/>
    <w:rsid w:val="00E336A9"/>
    <w:rsid w:val="00E407A6"/>
    <w:rsid w:val="00E4448F"/>
    <w:rsid w:val="00E46C20"/>
    <w:rsid w:val="00E472B1"/>
    <w:rsid w:val="00E50599"/>
    <w:rsid w:val="00E50624"/>
    <w:rsid w:val="00E507B1"/>
    <w:rsid w:val="00E553C1"/>
    <w:rsid w:val="00E56079"/>
    <w:rsid w:val="00E568DF"/>
    <w:rsid w:val="00E64269"/>
    <w:rsid w:val="00E64A5A"/>
    <w:rsid w:val="00E65299"/>
    <w:rsid w:val="00E82267"/>
    <w:rsid w:val="00E853CE"/>
    <w:rsid w:val="00E867B6"/>
    <w:rsid w:val="00E86A88"/>
    <w:rsid w:val="00E901FA"/>
    <w:rsid w:val="00E94824"/>
    <w:rsid w:val="00E95846"/>
    <w:rsid w:val="00E97E9A"/>
    <w:rsid w:val="00EA010F"/>
    <w:rsid w:val="00EA0D3B"/>
    <w:rsid w:val="00EA2677"/>
    <w:rsid w:val="00ED1B63"/>
    <w:rsid w:val="00ED2C2D"/>
    <w:rsid w:val="00ED3C1F"/>
    <w:rsid w:val="00ED4085"/>
    <w:rsid w:val="00ED420E"/>
    <w:rsid w:val="00ED6FBE"/>
    <w:rsid w:val="00EE1787"/>
    <w:rsid w:val="00EE2F57"/>
    <w:rsid w:val="00EF4C34"/>
    <w:rsid w:val="00EF77C6"/>
    <w:rsid w:val="00F052DE"/>
    <w:rsid w:val="00F05438"/>
    <w:rsid w:val="00F07564"/>
    <w:rsid w:val="00F108E2"/>
    <w:rsid w:val="00F11A4D"/>
    <w:rsid w:val="00F1361C"/>
    <w:rsid w:val="00F156F0"/>
    <w:rsid w:val="00F160C7"/>
    <w:rsid w:val="00F223F4"/>
    <w:rsid w:val="00F2408F"/>
    <w:rsid w:val="00F240E9"/>
    <w:rsid w:val="00F256E2"/>
    <w:rsid w:val="00F27CFC"/>
    <w:rsid w:val="00F3375A"/>
    <w:rsid w:val="00F36D8F"/>
    <w:rsid w:val="00F417B1"/>
    <w:rsid w:val="00F45782"/>
    <w:rsid w:val="00F45853"/>
    <w:rsid w:val="00F5099C"/>
    <w:rsid w:val="00F509A6"/>
    <w:rsid w:val="00F51F21"/>
    <w:rsid w:val="00F602DF"/>
    <w:rsid w:val="00F71EBE"/>
    <w:rsid w:val="00F754A1"/>
    <w:rsid w:val="00F81FD9"/>
    <w:rsid w:val="00F841AA"/>
    <w:rsid w:val="00F84A94"/>
    <w:rsid w:val="00F86EB3"/>
    <w:rsid w:val="00F87E96"/>
    <w:rsid w:val="00F922CB"/>
    <w:rsid w:val="00F92ABE"/>
    <w:rsid w:val="00FA1896"/>
    <w:rsid w:val="00FA23E8"/>
    <w:rsid w:val="00FB7D0C"/>
    <w:rsid w:val="00FD3CC1"/>
    <w:rsid w:val="00FD413E"/>
    <w:rsid w:val="00FD54CF"/>
    <w:rsid w:val="00FF13BD"/>
    <w:rsid w:val="00FF1947"/>
    <w:rsid w:val="00FF1E02"/>
    <w:rsid w:val="00FF1E3C"/>
    <w:rsid w:val="00FF30B4"/>
    <w:rsid w:val="015975B8"/>
    <w:rsid w:val="02143E91"/>
    <w:rsid w:val="044C6E68"/>
    <w:rsid w:val="066E0107"/>
    <w:rsid w:val="07996F6E"/>
    <w:rsid w:val="0A2032A3"/>
    <w:rsid w:val="0DAF0B93"/>
    <w:rsid w:val="0F98263C"/>
    <w:rsid w:val="101860EC"/>
    <w:rsid w:val="108F5D13"/>
    <w:rsid w:val="10C055FF"/>
    <w:rsid w:val="118107EC"/>
    <w:rsid w:val="13345697"/>
    <w:rsid w:val="13D50BC4"/>
    <w:rsid w:val="16BB723D"/>
    <w:rsid w:val="1BE8440E"/>
    <w:rsid w:val="1D155CEE"/>
    <w:rsid w:val="1FF35744"/>
    <w:rsid w:val="23860B96"/>
    <w:rsid w:val="240371BF"/>
    <w:rsid w:val="26C26CF7"/>
    <w:rsid w:val="29FD04D3"/>
    <w:rsid w:val="2C8A61B5"/>
    <w:rsid w:val="2D202ABC"/>
    <w:rsid w:val="2DF04E50"/>
    <w:rsid w:val="2F040D46"/>
    <w:rsid w:val="306D4B10"/>
    <w:rsid w:val="319F7F4E"/>
    <w:rsid w:val="31AB2B70"/>
    <w:rsid w:val="32A9493D"/>
    <w:rsid w:val="3304709D"/>
    <w:rsid w:val="36AA5135"/>
    <w:rsid w:val="376D39B2"/>
    <w:rsid w:val="37CFD766"/>
    <w:rsid w:val="37E16F03"/>
    <w:rsid w:val="38890550"/>
    <w:rsid w:val="38D469F0"/>
    <w:rsid w:val="3CA37266"/>
    <w:rsid w:val="3D98207C"/>
    <w:rsid w:val="3E78745D"/>
    <w:rsid w:val="429343FE"/>
    <w:rsid w:val="44E268DA"/>
    <w:rsid w:val="45771102"/>
    <w:rsid w:val="4A627F82"/>
    <w:rsid w:val="4B0E749A"/>
    <w:rsid w:val="4B4F25DA"/>
    <w:rsid w:val="4BE068DB"/>
    <w:rsid w:val="4D577224"/>
    <w:rsid w:val="4EAB630A"/>
    <w:rsid w:val="4ECE2238"/>
    <w:rsid w:val="4F740B35"/>
    <w:rsid w:val="4FA62E9D"/>
    <w:rsid w:val="53654E1D"/>
    <w:rsid w:val="537E6D0A"/>
    <w:rsid w:val="5AF92295"/>
    <w:rsid w:val="5CD71FC4"/>
    <w:rsid w:val="60DB227B"/>
    <w:rsid w:val="670A5668"/>
    <w:rsid w:val="68156EE5"/>
    <w:rsid w:val="6B105217"/>
    <w:rsid w:val="6C4A05C8"/>
    <w:rsid w:val="6E7E3605"/>
    <w:rsid w:val="6FF5CC65"/>
    <w:rsid w:val="710E1068"/>
    <w:rsid w:val="715C0E4B"/>
    <w:rsid w:val="72734D90"/>
    <w:rsid w:val="72C232B3"/>
    <w:rsid w:val="73AD73D5"/>
    <w:rsid w:val="73B6EB34"/>
    <w:rsid w:val="744731E5"/>
    <w:rsid w:val="76E3355F"/>
    <w:rsid w:val="778769C8"/>
    <w:rsid w:val="79EE5BA4"/>
    <w:rsid w:val="7A894339"/>
    <w:rsid w:val="7EEF11D3"/>
    <w:rsid w:val="7FA30C79"/>
    <w:rsid w:val="7FB7269E"/>
    <w:rsid w:val="7FC96657"/>
    <w:rsid w:val="D8D6DB89"/>
    <w:rsid w:val="DB6F4CAB"/>
    <w:rsid w:val="DF6F9789"/>
    <w:rsid w:val="FF9F86F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paragraph" w:styleId="5">
    <w:name w:val="heading 3"/>
    <w:basedOn w:val="1"/>
    <w:next w:val="1"/>
    <w:link w:val="36"/>
    <w:unhideWhenUsed/>
    <w:qFormat/>
    <w:uiPriority w:val="9"/>
    <w:pPr>
      <w:keepNext/>
      <w:keepLines/>
      <w:spacing w:before="260" w:after="260" w:line="416" w:lineRule="auto"/>
      <w:outlineLvl w:val="2"/>
    </w:pPr>
    <w:rPr>
      <w:b/>
      <w:bCs/>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9"/>
    <w:qFormat/>
    <w:uiPriority w:val="99"/>
    <w:pPr>
      <w:spacing w:beforeLines="30"/>
    </w:pPr>
    <w:rPr>
      <w:rFonts w:ascii="仿宋_GB2312"/>
      <w:kern w:val="0"/>
      <w:sz w:val="30"/>
    </w:rPr>
  </w:style>
  <w:style w:type="paragraph" w:styleId="6">
    <w:name w:val="annotation text"/>
    <w:basedOn w:val="1"/>
    <w:link w:val="41"/>
    <w:semiHidden/>
    <w:unhideWhenUsed/>
    <w:qFormat/>
    <w:uiPriority w:val="99"/>
    <w:pPr>
      <w:jc w:val="left"/>
    </w:p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5"/>
    <w:semiHidden/>
    <w:unhideWhenUsed/>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able of figures"/>
    <w:basedOn w:val="1"/>
    <w:next w:val="1"/>
    <w:semiHidden/>
    <w:qFormat/>
    <w:uiPriority w:val="99"/>
    <w:pPr>
      <w:ind w:left="200" w:leftChars="200" w:hanging="200" w:hangingChars="200"/>
    </w:pPr>
    <w:rPr>
      <w:szCs w:val="32"/>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qFormat/>
    <w:uiPriority w:val="0"/>
    <w:pPr>
      <w:spacing w:beforeAutospacing="1" w:afterAutospacing="1"/>
      <w:jc w:val="left"/>
    </w:pPr>
    <w:rPr>
      <w:kern w:val="0"/>
      <w:sz w:val="24"/>
      <w:szCs w:val="32"/>
    </w:rPr>
  </w:style>
  <w:style w:type="paragraph" w:styleId="16">
    <w:name w:val="annotation subject"/>
    <w:basedOn w:val="6"/>
    <w:next w:val="6"/>
    <w:link w:val="42"/>
    <w:semiHidden/>
    <w:unhideWhenUsed/>
    <w:qFormat/>
    <w:uiPriority w:val="99"/>
    <w:rPr>
      <w:b/>
      <w:bCs/>
    </w:rPr>
  </w:style>
  <w:style w:type="paragraph" w:styleId="17">
    <w:name w:val="Body Text First Indent 2"/>
    <w:basedOn w:val="7"/>
    <w:unhideWhenUsed/>
    <w:qFormat/>
    <w:uiPriority w:val="99"/>
    <w:pPr>
      <w:ind w:firstLine="420" w:firstLineChars="200"/>
    </w:p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styleId="22">
    <w:name w:val="annotation reference"/>
    <w:basedOn w:val="19"/>
    <w:semiHidden/>
    <w:unhideWhenUsed/>
    <w:qFormat/>
    <w:uiPriority w:val="99"/>
    <w:rPr>
      <w:sz w:val="21"/>
      <w:szCs w:val="21"/>
    </w:rPr>
  </w:style>
  <w:style w:type="paragraph" w:customStyle="1" w:styleId="23">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4">
    <w:name w:val="Header Char"/>
    <w:basedOn w:val="19"/>
    <w:semiHidden/>
    <w:qFormat/>
    <w:uiPriority w:val="99"/>
    <w:rPr>
      <w:rFonts w:ascii="Times New Roman" w:hAnsi="Times New Roman"/>
      <w:sz w:val="18"/>
      <w:szCs w:val="18"/>
    </w:rPr>
  </w:style>
  <w:style w:type="character" w:customStyle="1" w:styleId="25">
    <w:name w:val="页眉 字符"/>
    <w:link w:val="11"/>
    <w:semiHidden/>
    <w:qFormat/>
    <w:locked/>
    <w:uiPriority w:val="99"/>
    <w:rPr>
      <w:sz w:val="18"/>
    </w:rPr>
  </w:style>
  <w:style w:type="character" w:customStyle="1" w:styleId="26">
    <w:name w:val="Footer Char"/>
    <w:basedOn w:val="19"/>
    <w:semiHidden/>
    <w:qFormat/>
    <w:uiPriority w:val="99"/>
    <w:rPr>
      <w:rFonts w:ascii="Times New Roman" w:hAnsi="Times New Roman"/>
      <w:sz w:val="18"/>
      <w:szCs w:val="18"/>
    </w:rPr>
  </w:style>
  <w:style w:type="character" w:customStyle="1" w:styleId="27">
    <w:name w:val="页脚 字符"/>
    <w:link w:val="10"/>
    <w:qFormat/>
    <w:locked/>
    <w:uiPriority w:val="99"/>
    <w:rPr>
      <w:sz w:val="18"/>
    </w:rPr>
  </w:style>
  <w:style w:type="character" w:customStyle="1" w:styleId="28">
    <w:name w:val="Body Text Char"/>
    <w:basedOn w:val="19"/>
    <w:semiHidden/>
    <w:qFormat/>
    <w:uiPriority w:val="99"/>
    <w:rPr>
      <w:rFonts w:ascii="Times New Roman" w:hAnsi="Times New Roman"/>
      <w:szCs w:val="24"/>
    </w:rPr>
  </w:style>
  <w:style w:type="character" w:customStyle="1" w:styleId="29">
    <w:name w:val="正文文本 字符"/>
    <w:link w:val="2"/>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character" w:customStyle="1" w:styleId="32">
    <w:name w:val="标题 1 字符"/>
    <w:basedOn w:val="19"/>
    <w:link w:val="3"/>
    <w:qFormat/>
    <w:uiPriority w:val="9"/>
    <w:rPr>
      <w:rFonts w:ascii="Times New Roman" w:hAnsi="Times New Roman"/>
      <w:b/>
      <w:bCs/>
      <w:kern w:val="44"/>
      <w:sz w:val="44"/>
      <w:szCs w:val="44"/>
    </w:rPr>
  </w:style>
  <w:style w:type="character" w:customStyle="1" w:styleId="33">
    <w:name w:val="标题 2 字符"/>
    <w:basedOn w:val="19"/>
    <w:link w:val="4"/>
    <w:qFormat/>
    <w:uiPriority w:val="9"/>
    <w:rPr>
      <w:rFonts w:asciiTheme="majorHAnsi" w:hAnsiTheme="majorHAnsi" w:eastAsiaTheme="majorEastAsia" w:cstheme="majorBidi"/>
      <w:b/>
      <w:bCs/>
      <w:kern w:val="2"/>
      <w:sz w:val="32"/>
      <w:szCs w:val="32"/>
    </w:rPr>
  </w:style>
  <w:style w:type="paragraph" w:customStyle="1" w:styleId="34">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批注框文本 字符"/>
    <w:basedOn w:val="19"/>
    <w:link w:val="9"/>
    <w:semiHidden/>
    <w:qFormat/>
    <w:uiPriority w:val="99"/>
    <w:rPr>
      <w:rFonts w:ascii="Times New Roman" w:hAnsi="Times New Roman"/>
      <w:kern w:val="2"/>
      <w:sz w:val="18"/>
      <w:szCs w:val="18"/>
    </w:rPr>
  </w:style>
  <w:style w:type="character" w:customStyle="1" w:styleId="36">
    <w:name w:val="标题 3 字符"/>
    <w:basedOn w:val="19"/>
    <w:link w:val="5"/>
    <w:qFormat/>
    <w:uiPriority w:val="9"/>
    <w:rPr>
      <w:rFonts w:ascii="Times New Roman" w:hAnsi="Times New Roman"/>
      <w:b/>
      <w:bCs/>
      <w:kern w:val="2"/>
      <w:sz w:val="32"/>
      <w:szCs w:val="32"/>
    </w:rPr>
  </w:style>
  <w:style w:type="paragraph" w:customStyle="1" w:styleId="37">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8">
    <w:name w:val="四号正文"/>
    <w:basedOn w:val="1"/>
    <w:link w:val="46"/>
    <w:qFormat/>
    <w:uiPriority w:val="0"/>
    <w:pPr>
      <w:spacing w:line="360" w:lineRule="auto"/>
    </w:pPr>
    <w:rPr>
      <w:rFonts w:ascii="??" w:hAnsi="??"/>
      <w:color w:val="000000"/>
      <w:kern w:val="0"/>
      <w:sz w:val="28"/>
      <w:szCs w:val="21"/>
      <w:lang w:val="zh-CN"/>
    </w:rPr>
  </w:style>
  <w:style w:type="paragraph" w:customStyle="1" w:styleId="39">
    <w:name w:val="29"/>
    <w:basedOn w:val="1"/>
    <w:qFormat/>
    <w:uiPriority w:val="0"/>
    <w:pPr>
      <w:widowControl/>
      <w:spacing w:before="100" w:beforeAutospacing="1" w:after="100" w:afterAutospacing="1"/>
      <w:jc w:val="left"/>
    </w:pPr>
    <w:rPr>
      <w:rFonts w:ascii="宋体" w:hAnsi="宋体" w:cs="宋体"/>
      <w:kern w:val="0"/>
      <w:sz w:val="24"/>
    </w:rPr>
  </w:style>
  <w:style w:type="paragraph" w:customStyle="1" w:styleId="40">
    <w:name w:val="常用样式（方正仿宋简）"/>
    <w:basedOn w:val="1"/>
    <w:qFormat/>
    <w:uiPriority w:val="99"/>
    <w:pPr>
      <w:spacing w:line="560" w:lineRule="exact"/>
      <w:ind w:firstLine="640" w:firstLineChars="200"/>
    </w:pPr>
    <w:rPr>
      <w:rFonts w:eastAsia="方正仿宋简体"/>
      <w:szCs w:val="32"/>
    </w:rPr>
  </w:style>
  <w:style w:type="character" w:customStyle="1" w:styleId="41">
    <w:name w:val="批注文字 字符"/>
    <w:basedOn w:val="19"/>
    <w:link w:val="6"/>
    <w:semiHidden/>
    <w:qFormat/>
    <w:uiPriority w:val="99"/>
    <w:rPr>
      <w:rFonts w:ascii="Times New Roman" w:hAnsi="Times New Roman" w:eastAsia="宋体" w:cs="Times New Roman"/>
      <w:kern w:val="2"/>
      <w:sz w:val="21"/>
      <w:szCs w:val="24"/>
    </w:rPr>
  </w:style>
  <w:style w:type="character" w:customStyle="1" w:styleId="42">
    <w:name w:val="批注主题 字符"/>
    <w:basedOn w:val="41"/>
    <w:link w:val="16"/>
    <w:semiHidden/>
    <w:qFormat/>
    <w:uiPriority w:val="99"/>
    <w:rPr>
      <w:rFonts w:ascii="Times New Roman" w:hAnsi="Times New Roman" w:eastAsia="宋体" w:cs="Times New Roman"/>
      <w:b/>
      <w:bCs/>
      <w:kern w:val="2"/>
      <w:sz w:val="21"/>
      <w:szCs w:val="24"/>
    </w:rPr>
  </w:style>
  <w:style w:type="paragraph" w:customStyle="1" w:styleId="43">
    <w:name w:val="TOC 标题3"/>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44">
    <w:name w:val="样式 样式 (西文) 宋体 (中文) 仿宋_GB2312 小四 + 首行缩进:  2 字符 行距: 最小值 12 磅"/>
    <w:basedOn w:val="1"/>
    <w:qFormat/>
    <w:uiPriority w:val="0"/>
    <w:pPr>
      <w:spacing w:line="240" w:lineRule="atLeast"/>
      <w:ind w:firstLine="640" w:firstLineChars="200"/>
      <w:jc w:val="left"/>
    </w:pPr>
    <w:rPr>
      <w:rFonts w:ascii="仿宋_GB2312"/>
      <w:b/>
      <w:color w:val="000000"/>
      <w:sz w:val="30"/>
      <w:szCs w:val="28"/>
    </w:rPr>
  </w:style>
  <w:style w:type="paragraph" w:customStyle="1" w:styleId="45">
    <w:name w:val="p0"/>
    <w:basedOn w:val="1"/>
    <w:qFormat/>
    <w:uiPriority w:val="0"/>
    <w:pPr>
      <w:widowControl/>
    </w:pPr>
    <w:rPr>
      <w:kern w:val="0"/>
      <w:szCs w:val="21"/>
    </w:rPr>
  </w:style>
  <w:style w:type="character" w:customStyle="1" w:styleId="46">
    <w:name w:val="四号正文 Char"/>
    <w:link w:val="38"/>
    <w:qFormat/>
    <w:uiPriority w:val="0"/>
    <w:rPr>
      <w:rFonts w:ascii="??" w:hAnsi="??" w:eastAsia="仿宋_GB2312" w:cs="Times New Roman"/>
      <w:color w:val="00000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delete val="true"/>
          </c:dLbls>
          <c:cat>
            <c:strRef>
              <c:f>Sheet1!$A$2</c:f>
              <c:strCache>
                <c:ptCount val="1"/>
                <c:pt idx="0">
                  <c:v>收支情况</c:v>
                </c:pt>
              </c:strCache>
            </c:strRef>
          </c:cat>
          <c:val>
            <c:numRef>
              <c:f>Sheet1!$B$2</c:f>
              <c:numCache>
                <c:formatCode>General</c:formatCode>
                <c:ptCount val="1"/>
                <c:pt idx="0">
                  <c:v>38516.71</c:v>
                </c:pt>
              </c:numCache>
            </c:numRef>
          </c:val>
        </c:ser>
        <c:ser>
          <c:idx val="1"/>
          <c:order val="1"/>
          <c:tx>
            <c:strRef>
              <c:f>Sheet1!$C$1</c:f>
              <c:strCache>
                <c:ptCount val="1"/>
                <c:pt idx="0">
                  <c:v>2023年</c:v>
                </c:pt>
              </c:strCache>
            </c:strRef>
          </c:tx>
          <c:spPr>
            <a:solidFill>
              <a:schemeClr val="accent1"/>
            </a:solidFill>
            <a:ln>
              <a:noFill/>
            </a:ln>
            <a:effectLst/>
          </c:spPr>
          <c:invertIfNegative val="false"/>
          <c:dLbls>
            <c:delete val="true"/>
          </c:dLbls>
          <c:cat>
            <c:strRef>
              <c:f>Sheet1!$A$2</c:f>
              <c:strCache>
                <c:ptCount val="1"/>
                <c:pt idx="0">
                  <c:v>收支情况</c:v>
                </c:pt>
              </c:strCache>
            </c:strRef>
          </c:cat>
          <c:val>
            <c:numRef>
              <c:f>Sheet1!$C$2</c:f>
              <c:numCache>
                <c:formatCode>General</c:formatCode>
                <c:ptCount val="1"/>
                <c:pt idx="0">
                  <c:v>23250.37</c:v>
                </c:pt>
              </c:numCache>
            </c:numRef>
          </c:val>
        </c:ser>
        <c:dLbls>
          <c:showLegendKey val="false"/>
          <c:showVal val="false"/>
          <c:showCatName val="false"/>
          <c:showSerName val="false"/>
          <c:showPercent val="false"/>
          <c:showBubbleSize val="false"/>
        </c:dLbls>
        <c:gapWidth val="204"/>
        <c:overlap val="-100"/>
        <c:axId val="765923088"/>
        <c:axId val="650064120"/>
      </c:barChart>
      <c:catAx>
        <c:axId val="765923088"/>
        <c:scaling>
          <c:orientation val="minMax"/>
        </c:scaling>
        <c:delete val="true"/>
        <c:axPos val="b"/>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50064120"/>
        <c:crosses val="autoZero"/>
        <c:auto val="true"/>
        <c:lblAlgn val="ctr"/>
        <c:lblOffset val="100"/>
        <c:noMultiLvlLbl val="false"/>
      </c:catAx>
      <c:valAx>
        <c:axId val="65006412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65923088"/>
        <c:crosses val="autoZero"/>
        <c:crossBetween val="between"/>
      </c:valAx>
      <c:spPr>
        <a:noFill/>
        <a:ln>
          <a:noFill/>
        </a:ln>
        <a:effectLst/>
      </c:spPr>
    </c:plotArea>
    <c:legend>
      <c:legendPos val="b"/>
      <c:layout>
        <c:manualLayout>
          <c:xMode val="edge"/>
          <c:yMode val="edge"/>
          <c:x val="0.0679551533670232"/>
          <c:y val="0.909700234839066"/>
          <c:w val="0.929637043130803"/>
          <c:h val="0.0696599302796129"/>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a:solidFill>
              <a:schemeClr val="accent1"/>
            </a:solidFill>
          </c:spPr>
          <c:explosion val="0"/>
          <c:dPt>
            <c:idx val="0"/>
            <c:bubble3D val="false"/>
            <c:spPr>
              <a:solidFill>
                <a:schemeClr val="bg1">
                  <a:lumMod val="75000"/>
                </a:schemeClr>
              </a:solidFill>
              <a:ln w="19050">
                <a:solidFill>
                  <a:schemeClr val="lt1"/>
                </a:solidFill>
              </a:ln>
              <a:effectLst/>
            </c:spPr>
          </c:dPt>
          <c:dPt>
            <c:idx val="1"/>
            <c:bubble3D val="false"/>
            <c:spPr>
              <a:solidFill>
                <a:schemeClr val="accent1"/>
              </a:solidFill>
              <a:ln w="19050">
                <a:solidFill>
                  <a:schemeClr val="lt1"/>
                </a:solidFill>
              </a:ln>
              <a:effectLst/>
            </c:spPr>
          </c:dPt>
          <c:dPt>
            <c:idx val="2"/>
            <c:bubble3D val="false"/>
            <c:spPr>
              <a:solidFill>
                <a:srgbClr val="C00000"/>
              </a:solidFill>
              <a:ln w="19050">
                <a:solidFill>
                  <a:schemeClr val="lt1"/>
                </a:solidFill>
              </a:ln>
              <a:effectLst/>
            </c:spPr>
          </c:dPt>
          <c:dLbls>
            <c:delete val="true"/>
          </c:dLbls>
          <c:cat>
            <c:strRef>
              <c:f>Sheet1!$A$2:$A$4</c:f>
              <c:strCache>
                <c:ptCount val="3"/>
                <c:pt idx="0">
                  <c:v>一般公共预算财政拨款收入</c:v>
                </c:pt>
                <c:pt idx="1">
                  <c:v>政府性基金预算财政拨款收入</c:v>
                </c:pt>
                <c:pt idx="2">
                  <c:v>其他收入</c:v>
                </c:pt>
              </c:strCache>
            </c:strRef>
          </c:cat>
          <c:val>
            <c:numRef>
              <c:f>Sheet1!$B$2:$B$4</c:f>
              <c:numCache>
                <c:formatCode>General</c:formatCode>
                <c:ptCount val="3"/>
                <c:pt idx="0">
                  <c:v>3576.97</c:v>
                </c:pt>
                <c:pt idx="1">
                  <c:v>19636.58</c:v>
                </c:pt>
                <c:pt idx="2">
                  <c:v>0.04</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2022年支出</c:v>
                </c:pt>
              </c:strCache>
            </c:strRef>
          </c:tx>
          <c:spPr>
            <a:solidFill>
              <a:schemeClr val="accent1"/>
            </a:solidFill>
          </c:spPr>
          <c:explosion val="0"/>
          <c:dPt>
            <c:idx val="0"/>
            <c:bubble3D val="false"/>
            <c:spPr>
              <a:solidFill>
                <a:schemeClr val="bg1">
                  <a:lumMod val="75000"/>
                </a:schemeClr>
              </a:solidFill>
              <a:ln w="19050">
                <a:solidFill>
                  <a:schemeClr val="lt1"/>
                </a:solidFill>
              </a:ln>
              <a:effectLst/>
            </c:spPr>
          </c:dPt>
          <c:dPt>
            <c:idx val="1"/>
            <c:bubble3D val="false"/>
            <c:spPr>
              <a:solidFill>
                <a:schemeClr val="accent1"/>
              </a:solidFill>
              <a:ln w="19050">
                <a:solidFill>
                  <a:schemeClr val="lt1"/>
                </a:solidFill>
              </a:ln>
              <a:effectLst/>
            </c:spPr>
          </c:dPt>
          <c:dLbls>
            <c:delete val="true"/>
          </c:dLbls>
          <c:cat>
            <c:strRef>
              <c:f>Sheet1!$A$2:$A$3</c:f>
              <c:strCache>
                <c:ptCount val="2"/>
                <c:pt idx="0">
                  <c:v>基本支出</c:v>
                </c:pt>
                <c:pt idx="1">
                  <c:v>项目支出</c:v>
                </c:pt>
              </c:strCache>
            </c:strRef>
          </c:cat>
          <c:val>
            <c:numRef>
              <c:f>Sheet1!$B$2:$B$3</c:f>
              <c:numCache>
                <c:formatCode>General</c:formatCode>
                <c:ptCount val="2"/>
                <c:pt idx="0">
                  <c:v>1208.25</c:v>
                </c:pt>
                <c:pt idx="1">
                  <c:v>22028.94</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delete val="true"/>
          </c:dLbls>
          <c:cat>
            <c:strRef>
              <c:f>Sheet1!$A$2</c:f>
              <c:strCache>
                <c:ptCount val="1"/>
                <c:pt idx="0">
                  <c:v>财政拨款收支</c:v>
                </c:pt>
              </c:strCache>
            </c:strRef>
          </c:cat>
          <c:val>
            <c:numRef>
              <c:f>Sheet1!$B$2</c:f>
              <c:numCache>
                <c:formatCode>General</c:formatCode>
                <c:ptCount val="1"/>
                <c:pt idx="0">
                  <c:v>38516.66</c:v>
                </c:pt>
              </c:numCache>
            </c:numRef>
          </c:val>
        </c:ser>
        <c:ser>
          <c:idx val="1"/>
          <c:order val="1"/>
          <c:tx>
            <c:strRef>
              <c:f>Sheet1!$C$1</c:f>
              <c:strCache>
                <c:ptCount val="1"/>
                <c:pt idx="0">
                  <c:v>2023年</c:v>
                </c:pt>
              </c:strCache>
            </c:strRef>
          </c:tx>
          <c:spPr>
            <a:solidFill>
              <a:schemeClr val="accent1"/>
            </a:solidFill>
            <a:ln>
              <a:noFill/>
            </a:ln>
            <a:effectLst/>
          </c:spPr>
          <c:invertIfNegative val="false"/>
          <c:dLbls>
            <c:delete val="true"/>
          </c:dLbls>
          <c:cat>
            <c:strRef>
              <c:f>Sheet1!$A$2</c:f>
              <c:strCache>
                <c:ptCount val="1"/>
                <c:pt idx="0">
                  <c:v>财政拨款收支</c:v>
                </c:pt>
              </c:strCache>
            </c:strRef>
          </c:cat>
          <c:val>
            <c:numRef>
              <c:f>Sheet1!$C$2</c:f>
              <c:numCache>
                <c:formatCode>General</c:formatCode>
                <c:ptCount val="1"/>
                <c:pt idx="0">
                  <c:v>23213.55</c:v>
                </c:pt>
              </c:numCache>
            </c:numRef>
          </c:val>
        </c:ser>
        <c:dLbls>
          <c:showLegendKey val="false"/>
          <c:showVal val="false"/>
          <c:showCatName val="false"/>
          <c:showSerName val="false"/>
          <c:showPercent val="false"/>
          <c:showBubbleSize val="false"/>
        </c:dLbls>
        <c:gapWidth val="219"/>
        <c:overlap val="-27"/>
        <c:axId val="589442880"/>
        <c:axId val="589443208"/>
      </c:barChart>
      <c:catAx>
        <c:axId val="589442880"/>
        <c:scaling>
          <c:orientation val="minMax"/>
        </c:scaling>
        <c:delete val="true"/>
        <c:axPos val="b"/>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89443208"/>
        <c:crosses val="autoZero"/>
        <c:auto val="true"/>
        <c:lblAlgn val="ctr"/>
        <c:lblOffset val="100"/>
        <c:noMultiLvlLbl val="false"/>
      </c:catAx>
      <c:valAx>
        <c:axId val="589443208"/>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89442880"/>
        <c:crosses val="autoZero"/>
        <c:crossBetween val="between"/>
      </c:valAx>
      <c:spPr>
        <a:noFill/>
        <a:ln>
          <a:noFill/>
        </a:ln>
        <a:effectLst/>
      </c:spPr>
    </c:plotArea>
    <c:legend>
      <c:legendPos val="b"/>
      <c:layout>
        <c:manualLayout>
          <c:xMode val="edge"/>
          <c:yMode val="edge"/>
          <c:x val="0.156749792863901"/>
          <c:y val="0.905572267862802"/>
          <c:w val="0.749105759805548"/>
          <c:h val="0.0696599302796129"/>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delete val="true"/>
          </c:dLbls>
          <c:cat>
            <c:strRef>
              <c:f>Sheet1!$A$2</c:f>
              <c:strCache>
                <c:ptCount val="1"/>
                <c:pt idx="0">
                  <c:v>类别 1</c:v>
                </c:pt>
              </c:strCache>
            </c:strRef>
          </c:cat>
          <c:val>
            <c:numRef>
              <c:f>Sheet1!$B$2</c:f>
              <c:numCache>
                <c:formatCode>General</c:formatCode>
                <c:ptCount val="1"/>
                <c:pt idx="0">
                  <c:v>4040.33</c:v>
                </c:pt>
              </c:numCache>
            </c:numRef>
          </c:val>
        </c:ser>
        <c:ser>
          <c:idx val="1"/>
          <c:order val="1"/>
          <c:tx>
            <c:strRef>
              <c:f>Sheet1!$C$1</c:f>
              <c:strCache>
                <c:ptCount val="1"/>
                <c:pt idx="0">
                  <c:v>2023年</c:v>
                </c:pt>
              </c:strCache>
            </c:strRef>
          </c:tx>
          <c:spPr>
            <a:solidFill>
              <a:schemeClr val="accent1"/>
            </a:solidFill>
            <a:ln>
              <a:noFill/>
            </a:ln>
            <a:effectLst/>
          </c:spPr>
          <c:invertIfNegative val="false"/>
          <c:dLbls>
            <c:delete val="true"/>
          </c:dLbls>
          <c:cat>
            <c:strRef>
              <c:f>Sheet1!$A$2</c:f>
              <c:strCache>
                <c:ptCount val="1"/>
                <c:pt idx="0">
                  <c:v>类别 1</c:v>
                </c:pt>
              </c:strCache>
            </c:strRef>
          </c:cat>
          <c:val>
            <c:numRef>
              <c:f>Sheet1!$C$2</c:f>
              <c:numCache>
                <c:formatCode>General</c:formatCode>
                <c:ptCount val="1"/>
                <c:pt idx="0">
                  <c:v>3600.61</c:v>
                </c:pt>
              </c:numCache>
            </c:numRef>
          </c:val>
        </c:ser>
        <c:dLbls>
          <c:showLegendKey val="false"/>
          <c:showVal val="false"/>
          <c:showCatName val="false"/>
          <c:showSerName val="false"/>
          <c:showPercent val="false"/>
          <c:showBubbleSize val="false"/>
        </c:dLbls>
        <c:gapWidth val="219"/>
        <c:overlap val="-27"/>
        <c:axId val="636126056"/>
        <c:axId val="636134912"/>
      </c:barChart>
      <c:catAx>
        <c:axId val="636126056"/>
        <c:scaling>
          <c:orientation val="minMax"/>
        </c:scaling>
        <c:delete val="true"/>
        <c:axPos val="b"/>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36134912"/>
        <c:crosses val="autoZero"/>
        <c:auto val="true"/>
        <c:lblAlgn val="ctr"/>
        <c:lblOffset val="100"/>
        <c:noMultiLvlLbl val="false"/>
      </c:catAx>
      <c:valAx>
        <c:axId val="636134912"/>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36126056"/>
        <c:crosses val="autoZero"/>
        <c:crossBetween val="between"/>
      </c:valAx>
      <c:spPr>
        <a:noFill/>
        <a:ln>
          <a:noFill/>
        </a:ln>
        <a:effectLst/>
      </c:spPr>
    </c:plotArea>
    <c:legend>
      <c:legendPos val="b"/>
      <c:layout>
        <c:manualLayout>
          <c:xMode val="edge"/>
          <c:yMode val="edge"/>
          <c:x val="0.20683406929058"/>
          <c:y val="0.905572267862802"/>
          <c:w val="0.653753002762447"/>
          <c:h val="0.0696599302796129"/>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系列 1</c:v>
                </c:pt>
              </c:strCache>
            </c:strRef>
          </c:tx>
          <c:spPr/>
          <c:explosion val="0"/>
          <c:dPt>
            <c:idx val="0"/>
            <c:bubble3D val="false"/>
            <c:spPr>
              <a:solidFill>
                <a:schemeClr val="accent5">
                  <a:lumMod val="20000"/>
                  <a:lumOff val="80000"/>
                </a:schemeClr>
              </a:solidFill>
              <a:ln>
                <a:noFill/>
              </a:ln>
              <a:effectLst/>
            </c:spPr>
          </c:dPt>
          <c:dPt>
            <c:idx val="1"/>
            <c:bubble3D val="false"/>
            <c:spPr>
              <a:solidFill>
                <a:schemeClr val="accent2"/>
              </a:solidFill>
              <a:ln>
                <a:noFill/>
              </a:ln>
              <a:effectLst/>
            </c:spPr>
          </c:dPt>
          <c:dPt>
            <c:idx val="2"/>
            <c:bubble3D val="false"/>
            <c:spPr>
              <a:solidFill>
                <a:schemeClr val="accent3"/>
              </a:solidFill>
              <a:ln>
                <a:noFill/>
              </a:ln>
              <a:effectLst/>
            </c:spPr>
          </c:dPt>
          <c:dPt>
            <c:idx val="3"/>
            <c:bubble3D val="false"/>
            <c:spPr>
              <a:solidFill>
                <a:schemeClr val="accent1"/>
              </a:solidFill>
              <a:ln>
                <a:noFill/>
              </a:ln>
              <a:effectLst/>
            </c:spPr>
          </c:dPt>
          <c:dPt>
            <c:idx val="4"/>
            <c:bubble3D val="false"/>
            <c:spPr>
              <a:solidFill>
                <a:schemeClr val="accent5"/>
              </a:solidFill>
              <a:ln>
                <a:noFill/>
              </a:ln>
              <a:effectLst/>
            </c:spPr>
          </c:dPt>
          <c:dPt>
            <c:idx val="5"/>
            <c:bubble3D val="false"/>
            <c:spPr>
              <a:solidFill>
                <a:schemeClr val="accent6"/>
              </a:solidFill>
              <a:ln>
                <a:noFill/>
              </a:ln>
              <a:effectLst/>
            </c:spPr>
          </c:dPt>
          <c:dLbls>
            <c:delete val="true"/>
          </c:dLbls>
          <c:cat>
            <c:strRef>
              <c:f>Sheet1!$A$2:$A$7</c:f>
              <c:strCache>
                <c:ptCount val="6"/>
                <c:pt idx="0">
                  <c:v>社会保障和就业支出</c:v>
                </c:pt>
                <c:pt idx="1">
                  <c:v>卫生健康支出</c:v>
                </c:pt>
                <c:pt idx="2">
                  <c:v>城乡社区支出</c:v>
                </c:pt>
                <c:pt idx="3">
                  <c:v>资源勘探工业信息等支出</c:v>
                </c:pt>
                <c:pt idx="4">
                  <c:v>住房保障支出</c:v>
                </c:pt>
                <c:pt idx="5">
                  <c:v>其他支出</c:v>
                </c:pt>
              </c:strCache>
            </c:strRef>
          </c:cat>
          <c:val>
            <c:numRef>
              <c:f>Sheet1!$B$2:$B$7</c:f>
              <c:numCache>
                <c:formatCode>General</c:formatCode>
                <c:ptCount val="6"/>
                <c:pt idx="0">
                  <c:v>168.64</c:v>
                </c:pt>
                <c:pt idx="1">
                  <c:v>39.56</c:v>
                </c:pt>
                <c:pt idx="2">
                  <c:v>1830</c:v>
                </c:pt>
                <c:pt idx="3">
                  <c:v>1391.96</c:v>
                </c:pt>
                <c:pt idx="4">
                  <c:v>80.45</c:v>
                </c:pt>
                <c:pt idx="5">
                  <c:v>90</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ysClr val="windowText" lastClr="000000"/>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solidFill>
            <a:srgbClr val="FF0000"/>
          </a:solidFill>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tx2">
                  <a:lumMod val="60000"/>
                  <a:lumOff val="40000"/>
                </a:schemeClr>
              </a:solidFill>
              <a:ln w="19050">
                <a:solidFill>
                  <a:schemeClr val="lt1"/>
                </a:solidFill>
              </a:ln>
              <a:effectLst/>
            </c:spPr>
          </c:dPt>
          <c:dPt>
            <c:idx val="2"/>
            <c:bubble3D val="false"/>
            <c:spPr>
              <a:solidFill>
                <a:schemeClr val="accent4">
                  <a:lumMod val="40000"/>
                  <a:lumOff val="60000"/>
                </a:schemeClr>
              </a:solidFill>
              <a:ln w="19050">
                <a:solidFill>
                  <a:schemeClr val="lt1"/>
                </a:solidFill>
              </a:ln>
              <a:effectLst/>
            </c:spPr>
          </c:dPt>
          <c:dLbls>
            <c:delete val="true"/>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3.38</c:v>
                </c:pt>
                <c:pt idx="2">
                  <c:v>0.32</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143</Pages>
  <Words>9068</Words>
  <Characters>51694</Characters>
  <Lines>430</Lines>
  <Paragraphs>121</Paragraphs>
  <TotalTime>20</TotalTime>
  <ScaleCrop>false</ScaleCrop>
  <LinksUpToDate>false</LinksUpToDate>
  <CharactersWithSpaces>60641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2024-09-18T18:02:00Z</dcterms:created>
  <dc:creator>市国资委</dc:creator>
  <cp:lastModifiedBy> </cp:lastModifiedBy>
  <cp:lastPrinted>2023-10-07T09:12:00Z</cp:lastPrinted>
  <dcterms:modified xsi:type="dcterms:W3CDTF">2024-09-26T16:30:05Z</dcterms:modified>
  <dc:title>2022年度决算公开编制说明</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1BF328E4FCBC46E183310AF8D9815CC9</vt:lpwstr>
  </property>
</Properties>
</file>